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2E13" w14:textId="77777777" w:rsidR="00E06523" w:rsidRDefault="00E06523" w:rsidP="00A65AA8">
      <w:pPr>
        <w:pStyle w:val="Heading1"/>
      </w:pPr>
      <w:bookmarkStart w:id="0" w:name="_Toc41939055"/>
      <w:bookmarkStart w:id="1" w:name="_Toc42011604"/>
    </w:p>
    <w:p w14:paraId="051E5304" w14:textId="77777777" w:rsidR="00E06523" w:rsidRDefault="00E06523" w:rsidP="00E06523">
      <w:pPr>
        <w:spacing w:after="0"/>
        <w:rPr>
          <w:rFonts w:eastAsia="DengXian Light" w:cs="Open Sans"/>
          <w:b/>
          <w:bCs/>
          <w:color w:val="000000" w:themeColor="text1"/>
          <w:sz w:val="36"/>
          <w:szCs w:val="32"/>
          <w:lang w:val="en-CA"/>
        </w:rPr>
      </w:pPr>
    </w:p>
    <w:p w14:paraId="3B7D78FD" w14:textId="77777777" w:rsidR="00E06523" w:rsidRDefault="00E06523" w:rsidP="00E06523">
      <w:pPr>
        <w:spacing w:after="0"/>
        <w:rPr>
          <w:rFonts w:eastAsia="DengXian Light" w:cs="Open Sans"/>
          <w:b/>
          <w:bCs/>
          <w:color w:val="000000" w:themeColor="text1"/>
          <w:sz w:val="36"/>
          <w:szCs w:val="32"/>
          <w:lang w:val="en-CA"/>
        </w:rPr>
      </w:pPr>
    </w:p>
    <w:p w14:paraId="57F90FE0" w14:textId="77777777" w:rsidR="00A65AA8" w:rsidRDefault="00A65AA8" w:rsidP="00E06523">
      <w:pPr>
        <w:spacing w:after="0"/>
        <w:rPr>
          <w:rFonts w:eastAsia="DengXian Light" w:cs="Open Sans"/>
          <w:b/>
          <w:bCs/>
          <w:color w:val="000000" w:themeColor="text1"/>
          <w:sz w:val="40"/>
          <w:szCs w:val="36"/>
          <w:lang w:val="en-CA"/>
        </w:rPr>
      </w:pPr>
    </w:p>
    <w:p w14:paraId="01EF7B9B" w14:textId="77777777" w:rsidR="00A65AA8" w:rsidRDefault="00A65AA8" w:rsidP="00E06523">
      <w:pPr>
        <w:spacing w:after="0"/>
        <w:rPr>
          <w:rFonts w:eastAsia="DengXian Light" w:cs="Open Sans"/>
          <w:b/>
          <w:bCs/>
          <w:color w:val="000000" w:themeColor="text1"/>
          <w:sz w:val="40"/>
          <w:szCs w:val="36"/>
          <w:lang w:val="en-CA"/>
        </w:rPr>
      </w:pPr>
    </w:p>
    <w:p w14:paraId="4A2F1EDD" w14:textId="08E2DAC5" w:rsidR="00E06523" w:rsidRPr="009318B1" w:rsidRDefault="00E06523" w:rsidP="00E06523">
      <w:pPr>
        <w:spacing w:after="0"/>
        <w:rPr>
          <w:rFonts w:eastAsia="DengXian Light" w:cs="Open Sans"/>
          <w:b/>
          <w:bCs/>
          <w:color w:val="000000" w:themeColor="text1"/>
          <w:sz w:val="40"/>
          <w:szCs w:val="36"/>
          <w:lang w:val="en-CA"/>
        </w:rPr>
      </w:pPr>
      <w:r w:rsidRPr="009318B1">
        <w:rPr>
          <w:rFonts w:eastAsia="DengXian Light" w:cs="Open Sans"/>
          <w:b/>
          <w:bCs/>
          <w:color w:val="000000" w:themeColor="text1"/>
          <w:sz w:val="40"/>
          <w:szCs w:val="36"/>
          <w:lang w:val="en-CA"/>
        </w:rPr>
        <w:t>TCG 21 June 2021 Meeting</w:t>
      </w:r>
    </w:p>
    <w:p w14:paraId="0CBFEA91" w14:textId="17E5148E" w:rsidR="00E06523" w:rsidRDefault="00E06523" w:rsidP="00E06523">
      <w:pPr>
        <w:spacing w:after="0"/>
        <w:rPr>
          <w:rFonts w:eastAsia="DengXian Light" w:cs="Open Sans"/>
          <w:b/>
          <w:bCs/>
          <w:color w:val="000000" w:themeColor="text1"/>
          <w:sz w:val="40"/>
          <w:szCs w:val="36"/>
          <w:lang w:val="en-CA"/>
        </w:rPr>
      </w:pPr>
      <w:r w:rsidRPr="009318B1">
        <w:rPr>
          <w:rFonts w:eastAsia="DengXian Light" w:cs="Open Sans"/>
          <w:b/>
          <w:bCs/>
          <w:color w:val="000000" w:themeColor="text1"/>
          <w:sz w:val="40"/>
          <w:szCs w:val="36"/>
          <w:lang w:val="en-CA"/>
        </w:rPr>
        <w:t>Consultation</w:t>
      </w:r>
      <w:r w:rsidR="008A0FC3">
        <w:rPr>
          <w:rFonts w:eastAsia="DengXian Light" w:cs="Open Sans"/>
          <w:b/>
          <w:bCs/>
          <w:color w:val="000000" w:themeColor="text1"/>
          <w:sz w:val="40"/>
          <w:szCs w:val="36"/>
          <w:lang w:val="en-CA"/>
        </w:rPr>
        <w:t xml:space="preserve"> – Word </w:t>
      </w:r>
      <w:r w:rsidR="00CC3DD5">
        <w:rPr>
          <w:rFonts w:eastAsia="DengXian Light" w:cs="Open Sans"/>
          <w:b/>
          <w:bCs/>
          <w:color w:val="000000" w:themeColor="text1"/>
          <w:sz w:val="40"/>
          <w:szCs w:val="36"/>
          <w:lang w:val="en-CA"/>
        </w:rPr>
        <w:t>form</w:t>
      </w:r>
    </w:p>
    <w:p w14:paraId="4A524A4D" w14:textId="31176C1C" w:rsidR="00105503" w:rsidRDefault="00105503" w:rsidP="00E06523">
      <w:pPr>
        <w:spacing w:after="0"/>
        <w:rPr>
          <w:rFonts w:eastAsia="DengXian Light" w:cs="Open Sans"/>
          <w:b/>
          <w:bCs/>
          <w:color w:val="000000" w:themeColor="text1"/>
          <w:sz w:val="40"/>
          <w:szCs w:val="36"/>
          <w:lang w:val="en-CA"/>
        </w:rPr>
      </w:pPr>
    </w:p>
    <w:p w14:paraId="6A9B4AC8" w14:textId="185D5D0D" w:rsidR="00105503" w:rsidRDefault="00105503" w:rsidP="00E06523">
      <w:pPr>
        <w:spacing w:after="0"/>
        <w:rPr>
          <w:rFonts w:eastAsia="DengXian Light" w:cs="Open Sans"/>
          <w:b/>
          <w:bCs/>
          <w:color w:val="000000" w:themeColor="text1"/>
          <w:sz w:val="40"/>
          <w:szCs w:val="36"/>
          <w:lang w:val="en-CA"/>
        </w:rPr>
      </w:pPr>
    </w:p>
    <w:p w14:paraId="50C77E68" w14:textId="31643C05" w:rsidR="00105503" w:rsidRPr="00AB6BEC" w:rsidRDefault="00AB6BEC" w:rsidP="00E06523">
      <w:pPr>
        <w:spacing w:after="0"/>
        <w:rPr>
          <w:rFonts w:eastAsia="DengXian Light" w:cs="Open Sans"/>
          <w:b/>
          <w:bCs/>
          <w:color w:val="000000" w:themeColor="text1"/>
          <w:sz w:val="28"/>
          <w:szCs w:val="24"/>
          <w:lang w:val="en-CA"/>
        </w:rPr>
      </w:pPr>
      <w:r w:rsidRPr="00AB6BEC">
        <w:rPr>
          <w:rFonts w:eastAsia="DengXian Light" w:cs="Open Sans"/>
          <w:b/>
          <w:bCs/>
          <w:color w:val="000000" w:themeColor="text1"/>
          <w:sz w:val="28"/>
          <w:szCs w:val="24"/>
          <w:lang w:val="en-CA"/>
        </w:rPr>
        <w:t>Please fill in the following information:</w:t>
      </w:r>
    </w:p>
    <w:p w14:paraId="62326ECC" w14:textId="4CC58AB0" w:rsidR="00105503" w:rsidRPr="00AB6BEC" w:rsidRDefault="00105503" w:rsidP="00E06523">
      <w:pPr>
        <w:spacing w:after="0"/>
        <w:rPr>
          <w:rFonts w:eastAsia="DengXian Light" w:cs="Open Sans"/>
          <w:color w:val="000000" w:themeColor="text1"/>
          <w:sz w:val="28"/>
          <w:szCs w:val="24"/>
          <w:lang w:val="en-CA"/>
        </w:rPr>
      </w:pPr>
      <w:r w:rsidRPr="00AB6BEC">
        <w:rPr>
          <w:rFonts w:eastAsia="DengXian Light" w:cs="Open Sans"/>
          <w:color w:val="000000" w:themeColor="text1"/>
          <w:sz w:val="28"/>
          <w:szCs w:val="24"/>
          <w:lang w:val="en-CA"/>
        </w:rPr>
        <w:t>Name:</w:t>
      </w:r>
    </w:p>
    <w:p w14:paraId="51666AE9" w14:textId="4D217FA8" w:rsidR="00105503" w:rsidRPr="00AB6BEC" w:rsidRDefault="00105503" w:rsidP="00E06523">
      <w:pPr>
        <w:spacing w:after="0"/>
        <w:rPr>
          <w:rFonts w:eastAsia="DengXian Light" w:cs="Open Sans"/>
          <w:color w:val="000000" w:themeColor="text1"/>
          <w:sz w:val="28"/>
          <w:szCs w:val="24"/>
          <w:lang w:val="en-CA"/>
        </w:rPr>
      </w:pPr>
      <w:r w:rsidRPr="00AB6BEC">
        <w:rPr>
          <w:rFonts w:eastAsia="DengXian Light" w:cs="Open Sans"/>
          <w:color w:val="000000" w:themeColor="text1"/>
          <w:sz w:val="28"/>
          <w:szCs w:val="24"/>
          <w:lang w:val="en-CA"/>
        </w:rPr>
        <w:t>Organisation:</w:t>
      </w:r>
    </w:p>
    <w:p w14:paraId="192B2022" w14:textId="3F296A3B" w:rsidR="00105503" w:rsidRPr="00AB6BEC" w:rsidRDefault="00105503" w:rsidP="00E06523">
      <w:pPr>
        <w:spacing w:after="0"/>
        <w:rPr>
          <w:rFonts w:eastAsia="DengXian Light" w:cs="Open Sans"/>
          <w:color w:val="000000" w:themeColor="text1"/>
          <w:sz w:val="28"/>
          <w:szCs w:val="24"/>
          <w:lang w:val="en-CA"/>
        </w:rPr>
      </w:pPr>
      <w:r w:rsidRPr="00AB6BEC">
        <w:rPr>
          <w:rFonts w:eastAsia="DengXian Light" w:cs="Open Sans"/>
          <w:color w:val="000000" w:themeColor="text1"/>
          <w:sz w:val="28"/>
          <w:szCs w:val="24"/>
          <w:lang w:val="en-CA"/>
        </w:rPr>
        <w:t>Section:</w:t>
      </w:r>
    </w:p>
    <w:p w14:paraId="32DD1CF2" w14:textId="15C500DE" w:rsidR="00105503" w:rsidRPr="00AB6BEC" w:rsidRDefault="00105503" w:rsidP="00E06523">
      <w:pPr>
        <w:spacing w:after="0"/>
        <w:rPr>
          <w:rFonts w:eastAsia="DengXian Light" w:cs="Open Sans"/>
          <w:color w:val="000000" w:themeColor="text1"/>
          <w:sz w:val="28"/>
          <w:szCs w:val="24"/>
          <w:lang w:val="en-CA"/>
        </w:rPr>
      </w:pPr>
      <w:r w:rsidRPr="00AB6BEC">
        <w:rPr>
          <w:rFonts w:eastAsia="DengXian Light" w:cs="Open Sans"/>
          <w:color w:val="000000" w:themeColor="text1"/>
          <w:sz w:val="28"/>
          <w:szCs w:val="24"/>
          <w:lang w:val="en-CA"/>
        </w:rPr>
        <w:t>Country:</w:t>
      </w:r>
    </w:p>
    <w:p w14:paraId="41BEF74D" w14:textId="4B04F5FA" w:rsidR="00105503" w:rsidRPr="00AB6BEC" w:rsidRDefault="00105503" w:rsidP="00E06523">
      <w:pPr>
        <w:spacing w:after="0"/>
        <w:rPr>
          <w:rFonts w:eastAsia="DengXian Light" w:cs="Open Sans"/>
          <w:color w:val="000000" w:themeColor="text1"/>
          <w:sz w:val="28"/>
          <w:szCs w:val="24"/>
          <w:lang w:val="en-CA"/>
        </w:rPr>
      </w:pPr>
      <w:r w:rsidRPr="00AB6BEC">
        <w:rPr>
          <w:rFonts w:eastAsia="DengXian Light" w:cs="Open Sans"/>
          <w:color w:val="000000" w:themeColor="text1"/>
          <w:sz w:val="28"/>
          <w:szCs w:val="24"/>
          <w:lang w:val="en-CA"/>
        </w:rPr>
        <w:t>Email:</w:t>
      </w:r>
    </w:p>
    <w:bookmarkEnd w:id="0"/>
    <w:bookmarkEnd w:id="1"/>
    <w:p w14:paraId="6F1D02FB" w14:textId="3456CB87" w:rsidR="001A26BF" w:rsidRPr="00D54C2F" w:rsidRDefault="008D64A4" w:rsidP="00D54C2F">
      <w:pPr>
        <w:pStyle w:val="Default"/>
        <w:spacing w:after="120"/>
        <w:jc w:val="both"/>
        <w:rPr>
          <w:b/>
          <w:bCs/>
        </w:rPr>
      </w:pPr>
      <w:r>
        <w:rPr>
          <w:rFonts w:ascii="Times New Roman" w:hAnsi="Times New Roman" w:cs="Times New Roman"/>
          <w:b/>
          <w:sz w:val="28"/>
          <w:lang w:val="en-US"/>
        </w:rPr>
        <w:br w:type="page"/>
      </w:r>
      <w:r w:rsidR="001A26BF" w:rsidRPr="00D54C2F">
        <w:rPr>
          <w:b/>
          <w:bCs/>
        </w:rPr>
        <w:lastRenderedPageBreak/>
        <w:t>1. Benchmark: indicator on equity</w:t>
      </w:r>
    </w:p>
    <w:p w14:paraId="47084601" w14:textId="77777777" w:rsidR="001A26BF" w:rsidRPr="00D54C2F" w:rsidRDefault="001A26BF" w:rsidP="001A26BF">
      <w:pPr>
        <w:rPr>
          <w:rFonts w:ascii="Open Sans" w:hAnsi="Open Sans" w:cs="Open Sans"/>
          <w:sz w:val="20"/>
          <w:szCs w:val="20"/>
          <w:lang w:val="en-US"/>
        </w:rPr>
      </w:pPr>
      <w:r w:rsidRPr="00D54C2F">
        <w:rPr>
          <w:rFonts w:ascii="Open Sans" w:hAnsi="Open Sans" w:cs="Open Sans"/>
          <w:sz w:val="20"/>
          <w:szCs w:val="20"/>
          <w:lang w:val="en-US"/>
        </w:rPr>
        <w:t>In August 2019, the sixth meeting of the Technical Cooperation Group (TCG) on SDG 4 indicators endorsed seven indicators to be benchmarked in fulfilment of the commitment made in paragraph 28 of the framework for Action for countries to set intermediate benchmarks. While six of the seven indicators were well defined, the seventh indicator, which was meant to focus on equity, was left to be determined at a subsequent stage. The seventh (virtual) TCG meeting in October 2020 approved a technical and political process for setting benchmarks, which have since been implemented. For the purpose of making this decision, two short papers were submitted:</w:t>
      </w:r>
    </w:p>
    <w:p w14:paraId="237260B8" w14:textId="77777777" w:rsidR="001A26BF" w:rsidRDefault="001A26BF" w:rsidP="001A26BF">
      <w:pPr>
        <w:pStyle w:val="ListParagraph"/>
        <w:numPr>
          <w:ilvl w:val="0"/>
          <w:numId w:val="16"/>
        </w:numPr>
      </w:pPr>
      <w:r>
        <w:t xml:space="preserve">A paper </w:t>
      </w:r>
      <w:hyperlink r:id="rId8" w:history="1">
        <w:r w:rsidRPr="00CF0DE8">
          <w:rPr>
            <w:rStyle w:val="Hyperlink"/>
          </w:rPr>
          <w:t>An Equity Benchmark for SDG 4: Options for Di</w:t>
        </w:r>
        <w:r>
          <w:rPr>
            <w:rStyle w:val="Hyperlink"/>
          </w:rPr>
          <w:t>s</w:t>
        </w:r>
        <w:r w:rsidRPr="00CF0DE8">
          <w:rPr>
            <w:rStyle w:val="Hyperlink"/>
          </w:rPr>
          <w:t xml:space="preserve">cussion: A Brief </w:t>
        </w:r>
        <w:r>
          <w:rPr>
            <w:rStyle w:val="Hyperlink"/>
          </w:rPr>
          <w:t>f</w:t>
        </w:r>
        <w:r w:rsidRPr="00CF0DE8">
          <w:rPr>
            <w:rStyle w:val="Hyperlink"/>
          </w:rPr>
          <w:t>or The Technical Cooperation Group</w:t>
        </w:r>
      </w:hyperlink>
      <w:r>
        <w:t xml:space="preserve"> was prepared </w:t>
      </w:r>
      <w:r w:rsidRPr="00FD1649">
        <w:t>to address the outstanding gap on the seventh benchmark</w:t>
      </w:r>
      <w:r>
        <w:t>,</w:t>
      </w:r>
      <w:r w:rsidRPr="00FD1649">
        <w:t xml:space="preserve"> offering a range of options for discussion.</w:t>
      </w:r>
    </w:p>
    <w:p w14:paraId="75F529D7" w14:textId="77777777" w:rsidR="001A26BF" w:rsidRPr="00D375DD" w:rsidRDefault="001A26BF" w:rsidP="001A26BF">
      <w:pPr>
        <w:pStyle w:val="ListParagraph"/>
        <w:numPr>
          <w:ilvl w:val="0"/>
          <w:numId w:val="16"/>
        </w:numPr>
      </w:pPr>
      <w:r>
        <w:t xml:space="preserve">Following the discussion, </w:t>
      </w:r>
      <w:r w:rsidRPr="001D22CA">
        <w:t>another short document</w:t>
      </w:r>
      <w:r>
        <w:t xml:space="preserve"> was prepared by the statistical service of the Ministry in charge of education in France. </w:t>
      </w:r>
    </w:p>
    <w:p w14:paraId="59530362" w14:textId="77777777" w:rsidR="001A26BF" w:rsidRDefault="001A26BF" w:rsidP="001A26BF">
      <w:pPr>
        <w:pStyle w:val="Heading2"/>
      </w:pPr>
      <w:r>
        <w:t xml:space="preserve">1.1. Which underlying indicator/measure should be used as benchmark indicator for equity? </w:t>
      </w:r>
    </w:p>
    <w:p w14:paraId="60B59E31" w14:textId="77777777" w:rsidR="001A26BF" w:rsidRPr="001A26BF" w:rsidRDefault="001A26BF" w:rsidP="001A26BF">
      <w:pPr>
        <w:rPr>
          <w:lang w:val="en-US"/>
        </w:rPr>
      </w:pPr>
      <w:r w:rsidRPr="001A26BF">
        <w:rPr>
          <w:lang w:val="en-US"/>
        </w:rPr>
        <w:t xml:space="preserve">More details on each of the five options are presented in </w:t>
      </w:r>
      <w:r w:rsidRPr="001A26BF">
        <w:rPr>
          <w:b/>
          <w:bCs/>
          <w:lang w:val="en-US"/>
        </w:rPr>
        <w:t>Table 1</w:t>
      </w:r>
      <w:r w:rsidRPr="001A26BF">
        <w:rPr>
          <w:lang w:val="en-US"/>
        </w:rPr>
        <w:t>.</w:t>
      </w:r>
    </w:p>
    <w:p w14:paraId="3282A49B" w14:textId="77777777" w:rsidR="001A26BF" w:rsidRDefault="001A26BF" w:rsidP="001A26BF">
      <w:pPr>
        <w:pStyle w:val="ListParagraph"/>
        <w:numPr>
          <w:ilvl w:val="0"/>
          <w:numId w:val="6"/>
        </w:numPr>
      </w:pPr>
      <w:r>
        <w:t>Option 1: Gender gap of the secondary completion rate</w:t>
      </w:r>
    </w:p>
    <w:p w14:paraId="58F189E0" w14:textId="106A8C8E" w:rsidR="001A26BF" w:rsidRDefault="001A26BF" w:rsidP="001A26BF">
      <w:pPr>
        <w:pStyle w:val="ListParagraph"/>
        <w:numPr>
          <w:ilvl w:val="0"/>
          <w:numId w:val="6"/>
        </w:numPr>
      </w:pPr>
      <w:r>
        <w:t>Option 2: Gender odd</w:t>
      </w:r>
      <w:r w:rsidR="001D22CA">
        <w:t>s</w:t>
      </w:r>
      <w:r>
        <w:t xml:space="preserve"> ratio of the secondary completion rate </w:t>
      </w:r>
    </w:p>
    <w:p w14:paraId="45433FB9" w14:textId="77777777" w:rsidR="001A26BF" w:rsidRDefault="001A26BF" w:rsidP="001A26BF">
      <w:pPr>
        <w:pStyle w:val="ListParagraph"/>
        <w:numPr>
          <w:ilvl w:val="0"/>
          <w:numId w:val="6"/>
        </w:numPr>
      </w:pPr>
      <w:r>
        <w:t xml:space="preserve">Option 3: Gender parity index of the secondary completion rate </w:t>
      </w:r>
    </w:p>
    <w:p w14:paraId="3FF084E2" w14:textId="77777777" w:rsidR="001A26BF" w:rsidRDefault="001A26BF" w:rsidP="001A26BF">
      <w:pPr>
        <w:pStyle w:val="ListParagraph"/>
        <w:numPr>
          <w:ilvl w:val="0"/>
          <w:numId w:val="6"/>
        </w:numPr>
      </w:pPr>
      <w:r>
        <w:t>Option 4: Residual of a regression on the parity index on the secondary completion rate</w:t>
      </w:r>
    </w:p>
    <w:p w14:paraId="0926A26E" w14:textId="77777777" w:rsidR="001A26BF" w:rsidRDefault="001A26BF" w:rsidP="001A26BF">
      <w:pPr>
        <w:pStyle w:val="ListParagraph"/>
        <w:numPr>
          <w:ilvl w:val="0"/>
          <w:numId w:val="6"/>
        </w:numPr>
      </w:pPr>
      <w:r>
        <w:t>Option 5: Standard deviation of the secondary completion rate by survey cluster</w:t>
      </w:r>
    </w:p>
    <w:p w14:paraId="2A31FEA6" w14:textId="77777777" w:rsidR="001A26BF" w:rsidRPr="00344288" w:rsidRDefault="001A26BF" w:rsidP="001A26BF">
      <w:pPr>
        <w:pStyle w:val="ListParagraph"/>
        <w:numPr>
          <w:ilvl w:val="0"/>
          <w:numId w:val="6"/>
        </w:numPr>
      </w:pPr>
      <w:r w:rsidRPr="00344288">
        <w:t>Option 6: none of the above</w:t>
      </w:r>
    </w:p>
    <w:p w14:paraId="5B02F1FB" w14:textId="77777777" w:rsidR="001A26BF" w:rsidRPr="001A26BF" w:rsidRDefault="001A26BF" w:rsidP="001A26BF">
      <w:pPr>
        <w:ind w:left="360"/>
        <w:rPr>
          <w:b/>
          <w:bCs/>
          <w:lang w:val="en-US"/>
        </w:rPr>
      </w:pPr>
      <w:r w:rsidRPr="001A26BF">
        <w:rPr>
          <w:b/>
          <w:bCs/>
          <w:lang w:val="en-US"/>
        </w:rPr>
        <w:t xml:space="preserve">Table 1 – Benchmark indicator on equity: options </w:t>
      </w:r>
      <w:proofErr w:type="gramStart"/>
      <w:r w:rsidRPr="001A26BF">
        <w:rPr>
          <w:b/>
          <w:bCs/>
          <w:lang w:val="en-US"/>
        </w:rPr>
        <w:t>proposed</w:t>
      </w:r>
      <w:proofErr w:type="gramEnd"/>
    </w:p>
    <w:tbl>
      <w:tblPr>
        <w:tblW w:w="5234" w:type="pct"/>
        <w:tblLayout w:type="fixed"/>
        <w:tblCellMar>
          <w:left w:w="0" w:type="dxa"/>
          <w:right w:w="0" w:type="dxa"/>
        </w:tblCellMar>
        <w:tblLook w:val="0400" w:firstRow="0" w:lastRow="0" w:firstColumn="0" w:lastColumn="0" w:noHBand="0" w:noVBand="1"/>
      </w:tblPr>
      <w:tblGrid>
        <w:gridCol w:w="540"/>
        <w:gridCol w:w="1374"/>
        <w:gridCol w:w="3019"/>
        <w:gridCol w:w="2060"/>
        <w:gridCol w:w="2472"/>
      </w:tblGrid>
      <w:tr w:rsidR="001A26BF" w:rsidRPr="005D63F5" w14:paraId="5DE7BDCF" w14:textId="77777777" w:rsidTr="00F71F62">
        <w:trPr>
          <w:trHeight w:val="63"/>
          <w:tblHeader/>
        </w:trPr>
        <w:tc>
          <w:tcPr>
            <w:tcW w:w="1011" w:type="pct"/>
            <w:gridSpan w:val="2"/>
            <w:tcBorders>
              <w:top w:val="single" w:sz="12" w:space="0" w:color="FFFFFF"/>
              <w:left w:val="single" w:sz="12" w:space="0" w:color="FFFFFF"/>
              <w:bottom w:val="single" w:sz="12" w:space="0" w:color="FFFFFF"/>
              <w:right w:val="single" w:sz="12" w:space="0" w:color="FFFFFF"/>
            </w:tcBorders>
            <w:shd w:val="clear" w:color="auto" w:fill="E7E6E6"/>
            <w:tcMar>
              <w:top w:w="72" w:type="dxa"/>
              <w:left w:w="144" w:type="dxa"/>
              <w:bottom w:w="72" w:type="dxa"/>
              <w:right w:w="144" w:type="dxa"/>
            </w:tcMar>
            <w:vAlign w:val="center"/>
            <w:hideMark/>
          </w:tcPr>
          <w:p w14:paraId="1B0A158F" w14:textId="77777777" w:rsidR="001A26BF" w:rsidRPr="005D63F5" w:rsidRDefault="001A26BF" w:rsidP="00F71F62">
            <w:pPr>
              <w:spacing w:after="0" w:line="240" w:lineRule="auto"/>
              <w:jc w:val="center"/>
              <w:rPr>
                <w:rFonts w:ascii="Arial" w:eastAsia="Times New Roman" w:hAnsi="Arial" w:cs="Arial"/>
                <w:sz w:val="24"/>
                <w:szCs w:val="24"/>
                <w:lang w:val="en-GB"/>
              </w:rPr>
            </w:pPr>
            <w:r w:rsidRPr="005D63F5">
              <w:rPr>
                <w:rFonts w:eastAsia="Open Sans" w:hAnsi="Calibri" w:cs="Open Sans"/>
                <w:b/>
                <w:bCs/>
                <w:smallCaps/>
                <w:color w:val="000000" w:themeColor="dark1"/>
                <w:spacing w:val="60"/>
                <w:kern w:val="24"/>
                <w:sz w:val="24"/>
                <w:szCs w:val="24"/>
                <w:lang w:val="en-CA"/>
              </w:rPr>
              <w:t>Option</w:t>
            </w:r>
          </w:p>
        </w:tc>
        <w:tc>
          <w:tcPr>
            <w:tcW w:w="1595" w:type="pct"/>
            <w:tcBorders>
              <w:top w:val="single" w:sz="12" w:space="0" w:color="FFFFFF"/>
              <w:left w:val="single" w:sz="12" w:space="0" w:color="FFFFFF"/>
              <w:bottom w:val="single" w:sz="12" w:space="0" w:color="FFFFFF"/>
              <w:right w:val="single" w:sz="12" w:space="0" w:color="FFFFFF"/>
            </w:tcBorders>
            <w:shd w:val="clear" w:color="auto" w:fill="E7E6E6"/>
            <w:tcMar>
              <w:top w:w="72" w:type="dxa"/>
              <w:left w:w="144" w:type="dxa"/>
              <w:bottom w:w="72" w:type="dxa"/>
              <w:right w:w="144" w:type="dxa"/>
            </w:tcMar>
            <w:vAlign w:val="center"/>
            <w:hideMark/>
          </w:tcPr>
          <w:p w14:paraId="6CE9CD96" w14:textId="77777777" w:rsidR="001A26BF" w:rsidRPr="005D63F5" w:rsidRDefault="001A26BF" w:rsidP="00F71F62">
            <w:pPr>
              <w:spacing w:after="0" w:line="240" w:lineRule="auto"/>
              <w:jc w:val="center"/>
              <w:rPr>
                <w:rFonts w:ascii="Arial" w:eastAsia="Times New Roman" w:hAnsi="Arial" w:cs="Arial"/>
                <w:sz w:val="24"/>
                <w:szCs w:val="24"/>
                <w:lang w:val="en-GB"/>
              </w:rPr>
            </w:pPr>
            <w:r w:rsidRPr="005D63F5">
              <w:rPr>
                <w:rFonts w:eastAsia="Open Sans" w:hAnsi="Calibri" w:cs="Open Sans"/>
                <w:b/>
                <w:bCs/>
                <w:smallCaps/>
                <w:color w:val="000000" w:themeColor="dark1"/>
                <w:spacing w:val="60"/>
                <w:kern w:val="24"/>
                <w:sz w:val="24"/>
                <w:szCs w:val="24"/>
                <w:lang w:val="en-CA"/>
              </w:rPr>
              <w:t>Benchmark setting</w:t>
            </w:r>
          </w:p>
        </w:tc>
        <w:tc>
          <w:tcPr>
            <w:tcW w:w="1088" w:type="pct"/>
            <w:tcBorders>
              <w:top w:val="single" w:sz="12" w:space="0" w:color="FFFFFF"/>
              <w:left w:val="single" w:sz="12" w:space="0" w:color="FFFFFF"/>
              <w:bottom w:val="single" w:sz="12" w:space="0" w:color="FFFFFF"/>
              <w:right w:val="single" w:sz="12" w:space="0" w:color="FFFFFF"/>
            </w:tcBorders>
            <w:shd w:val="clear" w:color="auto" w:fill="E7E6E6"/>
            <w:tcMar>
              <w:top w:w="72" w:type="dxa"/>
              <w:left w:w="144" w:type="dxa"/>
              <w:bottom w:w="72" w:type="dxa"/>
              <w:right w:w="144" w:type="dxa"/>
            </w:tcMar>
            <w:vAlign w:val="center"/>
            <w:hideMark/>
          </w:tcPr>
          <w:p w14:paraId="6080EE00" w14:textId="77777777" w:rsidR="001A26BF" w:rsidRPr="005D63F5" w:rsidRDefault="001A26BF" w:rsidP="00F71F62">
            <w:pPr>
              <w:spacing w:after="0" w:line="240" w:lineRule="auto"/>
              <w:jc w:val="center"/>
              <w:rPr>
                <w:rFonts w:ascii="Arial" w:eastAsia="Times New Roman" w:hAnsi="Arial" w:cs="Arial"/>
                <w:sz w:val="24"/>
                <w:szCs w:val="24"/>
                <w:lang w:val="en-GB"/>
              </w:rPr>
            </w:pPr>
            <w:r w:rsidRPr="005D63F5">
              <w:rPr>
                <w:rFonts w:eastAsia="Open Sans" w:hAnsi="Calibri" w:cs="Open Sans"/>
                <w:b/>
                <w:bCs/>
                <w:smallCaps/>
                <w:color w:val="000000" w:themeColor="dark1"/>
                <w:spacing w:val="60"/>
                <w:kern w:val="24"/>
                <w:sz w:val="24"/>
                <w:szCs w:val="24"/>
                <w:lang w:val="en-CA"/>
              </w:rPr>
              <w:t>Advantage</w:t>
            </w:r>
          </w:p>
        </w:tc>
        <w:tc>
          <w:tcPr>
            <w:tcW w:w="1306" w:type="pct"/>
            <w:tcBorders>
              <w:top w:val="single" w:sz="12" w:space="0" w:color="FFFFFF"/>
              <w:left w:val="single" w:sz="12" w:space="0" w:color="FFFFFF"/>
              <w:bottom w:val="single" w:sz="12" w:space="0" w:color="FFFFFF"/>
              <w:right w:val="single" w:sz="12" w:space="0" w:color="FFFFFF"/>
            </w:tcBorders>
            <w:shd w:val="clear" w:color="auto" w:fill="E7E6E6"/>
            <w:tcMar>
              <w:top w:w="72" w:type="dxa"/>
              <w:left w:w="144" w:type="dxa"/>
              <w:bottom w:w="72" w:type="dxa"/>
              <w:right w:w="144" w:type="dxa"/>
            </w:tcMar>
            <w:vAlign w:val="center"/>
            <w:hideMark/>
          </w:tcPr>
          <w:p w14:paraId="4D374F3D" w14:textId="77777777" w:rsidR="001A26BF" w:rsidRPr="005D63F5" w:rsidRDefault="001A26BF" w:rsidP="00F71F62">
            <w:pPr>
              <w:spacing w:after="0" w:line="240" w:lineRule="auto"/>
              <w:jc w:val="center"/>
              <w:rPr>
                <w:rFonts w:ascii="Arial" w:eastAsia="Times New Roman" w:hAnsi="Arial" w:cs="Arial"/>
                <w:sz w:val="24"/>
                <w:szCs w:val="24"/>
                <w:lang w:val="en-GB"/>
              </w:rPr>
            </w:pPr>
            <w:r w:rsidRPr="005D63F5">
              <w:rPr>
                <w:rFonts w:eastAsia="Open Sans" w:hAnsi="Calibri" w:cs="Open Sans"/>
                <w:b/>
                <w:bCs/>
                <w:smallCaps/>
                <w:color w:val="000000" w:themeColor="dark1"/>
                <w:spacing w:val="60"/>
                <w:kern w:val="24"/>
                <w:sz w:val="24"/>
                <w:szCs w:val="24"/>
                <w:lang w:val="en-CA"/>
              </w:rPr>
              <w:t>Disadvantage</w:t>
            </w:r>
          </w:p>
        </w:tc>
      </w:tr>
      <w:tr w:rsidR="001A26BF" w:rsidRPr="008A0FC3" w14:paraId="682956F8" w14:textId="77777777" w:rsidTr="00F71F62">
        <w:trPr>
          <w:trHeight w:val="1370"/>
        </w:trPr>
        <w:tc>
          <w:tcPr>
            <w:tcW w:w="285" w:type="pct"/>
            <w:tcBorders>
              <w:top w:val="single" w:sz="12" w:space="0" w:color="FFFFFF"/>
              <w:left w:val="single" w:sz="12" w:space="0" w:color="FFFFFF"/>
              <w:bottom w:val="single" w:sz="12" w:space="0" w:color="FFFFFF"/>
              <w:right w:val="nil"/>
            </w:tcBorders>
            <w:shd w:val="clear" w:color="auto" w:fill="FFF2CC" w:themeFill="accent4" w:themeFillTint="33"/>
            <w:tcMar>
              <w:top w:w="72" w:type="dxa"/>
              <w:left w:w="144" w:type="dxa"/>
              <w:bottom w:w="72" w:type="dxa"/>
              <w:right w:w="144" w:type="dxa"/>
            </w:tcMar>
            <w:vAlign w:val="center"/>
          </w:tcPr>
          <w:p w14:paraId="1E69A88F" w14:textId="77777777" w:rsidR="001A26BF" w:rsidRPr="005D63F5" w:rsidRDefault="001A26BF" w:rsidP="00F71F62">
            <w:pPr>
              <w:spacing w:after="0" w:line="240" w:lineRule="auto"/>
              <w:jc w:val="center"/>
              <w:rPr>
                <w:rFonts w:eastAsia="Open Sans" w:cs="Open Sans"/>
                <w:color w:val="000000" w:themeColor="dark1"/>
                <w:kern w:val="24"/>
                <w:szCs w:val="20"/>
                <w:lang w:val="en-CA"/>
              </w:rPr>
            </w:pPr>
            <w:r>
              <w:rPr>
                <w:rFonts w:eastAsia="Open Sans" w:cs="Open Sans"/>
                <w:color w:val="000000" w:themeColor="dark1"/>
                <w:kern w:val="24"/>
                <w:szCs w:val="20"/>
                <w:lang w:val="en-CA"/>
              </w:rPr>
              <w:t>1</w:t>
            </w:r>
          </w:p>
        </w:tc>
        <w:tc>
          <w:tcPr>
            <w:tcW w:w="726" w:type="pct"/>
            <w:tcBorders>
              <w:top w:val="single" w:sz="12" w:space="0" w:color="FFFFFF"/>
              <w:left w:val="nil"/>
              <w:bottom w:val="single" w:sz="12" w:space="0" w:color="FFFFFF"/>
              <w:right w:val="single" w:sz="12" w:space="0" w:color="FFFFFF"/>
            </w:tcBorders>
            <w:shd w:val="clear" w:color="auto" w:fill="FFF2CC" w:themeFill="accent4" w:themeFillTint="33"/>
            <w:tcMar>
              <w:top w:w="72" w:type="dxa"/>
              <w:left w:w="144" w:type="dxa"/>
              <w:bottom w:w="72" w:type="dxa"/>
              <w:right w:w="144" w:type="dxa"/>
            </w:tcMar>
            <w:vAlign w:val="center"/>
          </w:tcPr>
          <w:p w14:paraId="5674412D" w14:textId="77777777" w:rsidR="001A26BF" w:rsidRPr="005D63F5" w:rsidRDefault="001A26BF" w:rsidP="00F71F62">
            <w:pPr>
              <w:spacing w:after="0" w:line="240" w:lineRule="auto"/>
              <w:rPr>
                <w:rFonts w:eastAsia="Open Sans" w:cs="Open Sans"/>
                <w:b/>
                <w:bCs/>
                <w:smallCaps/>
                <w:color w:val="000000" w:themeColor="dark1"/>
                <w:kern w:val="24"/>
                <w:sz w:val="18"/>
                <w:szCs w:val="18"/>
                <w:lang w:val="en-CA"/>
              </w:rPr>
            </w:pPr>
            <w:r w:rsidRPr="005D63F5">
              <w:rPr>
                <w:rFonts w:eastAsia="Open Sans" w:cs="Open Sans"/>
                <w:b/>
                <w:bCs/>
                <w:smallCaps/>
                <w:color w:val="000000" w:themeColor="dark1"/>
                <w:kern w:val="24"/>
                <w:sz w:val="18"/>
                <w:szCs w:val="18"/>
                <w:lang w:val="en-CA"/>
              </w:rPr>
              <w:t xml:space="preserve">Gender </w:t>
            </w:r>
            <w:r>
              <w:rPr>
                <w:rFonts w:eastAsia="Open Sans" w:cs="Open Sans"/>
                <w:b/>
                <w:bCs/>
                <w:smallCaps/>
                <w:color w:val="000000" w:themeColor="dark1"/>
                <w:kern w:val="24"/>
                <w:sz w:val="18"/>
                <w:szCs w:val="18"/>
                <w:lang w:val="en-CA"/>
              </w:rPr>
              <w:t xml:space="preserve">Gap </w:t>
            </w:r>
            <w:r w:rsidRPr="005D63F5">
              <w:rPr>
                <w:rFonts w:eastAsia="Open Sans" w:cs="Open Sans"/>
                <w:b/>
                <w:bCs/>
                <w:smallCaps/>
                <w:color w:val="000000" w:themeColor="dark1"/>
                <w:kern w:val="24"/>
                <w:sz w:val="18"/>
                <w:szCs w:val="18"/>
                <w:lang w:val="en-CA"/>
              </w:rPr>
              <w:t>of</w:t>
            </w:r>
            <w:r>
              <w:rPr>
                <w:rFonts w:eastAsia="Open Sans" w:cs="Open Sans"/>
                <w:b/>
                <w:bCs/>
                <w:smallCaps/>
                <w:color w:val="000000" w:themeColor="dark1"/>
                <w:kern w:val="24"/>
                <w:sz w:val="18"/>
                <w:szCs w:val="18"/>
                <w:lang w:val="en-CA"/>
              </w:rPr>
              <w:t xml:space="preserve"> secondary</w:t>
            </w:r>
            <w:r w:rsidRPr="005D63F5">
              <w:rPr>
                <w:rFonts w:eastAsia="Open Sans" w:cs="Open Sans"/>
                <w:b/>
                <w:bCs/>
                <w:smallCaps/>
                <w:color w:val="000000" w:themeColor="dark1"/>
                <w:kern w:val="24"/>
                <w:sz w:val="18"/>
                <w:szCs w:val="18"/>
                <w:lang w:val="en-CA"/>
              </w:rPr>
              <w:t xml:space="preserve"> completion rate</w:t>
            </w:r>
          </w:p>
        </w:tc>
        <w:tc>
          <w:tcPr>
            <w:tcW w:w="1595" w:type="pct"/>
            <w:tcBorders>
              <w:top w:val="single" w:sz="12" w:space="0" w:color="FFFFFF"/>
              <w:left w:val="single" w:sz="12" w:space="0" w:color="FFFFFF"/>
              <w:bottom w:val="single" w:sz="12" w:space="0" w:color="FFFFFF"/>
              <w:right w:val="single" w:sz="12" w:space="0" w:color="FFFFFF"/>
            </w:tcBorders>
            <w:shd w:val="clear" w:color="auto" w:fill="FFF2CC" w:themeFill="accent4" w:themeFillTint="33"/>
            <w:tcMar>
              <w:top w:w="72" w:type="dxa"/>
              <w:left w:w="144" w:type="dxa"/>
              <w:bottom w:w="72" w:type="dxa"/>
              <w:right w:w="144" w:type="dxa"/>
            </w:tcMar>
          </w:tcPr>
          <w:p w14:paraId="44F54346" w14:textId="77777777" w:rsidR="001A26BF" w:rsidRPr="000C6913"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5D63F5">
              <w:rPr>
                <w:rFonts w:eastAsia="Open Sans" w:cs="Open Sans"/>
                <w:color w:val="000000" w:themeColor="dark1"/>
                <w:kern w:val="24"/>
                <w:sz w:val="18"/>
                <w:szCs w:val="18"/>
              </w:rPr>
              <w:t xml:space="preserve">Values set for completion rate. </w:t>
            </w:r>
          </w:p>
          <w:p w14:paraId="1022ABCD" w14:textId="77777777" w:rsidR="001A26BF" w:rsidRPr="000C6913"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5D63F5">
              <w:rPr>
                <w:rFonts w:eastAsia="Open Sans" w:cs="Open Sans"/>
                <w:color w:val="000000" w:themeColor="dark1"/>
                <w:kern w:val="24"/>
                <w:sz w:val="18"/>
                <w:szCs w:val="18"/>
              </w:rPr>
              <w:t xml:space="preserve">The change on the </w:t>
            </w:r>
            <w:r>
              <w:rPr>
                <w:rFonts w:eastAsia="Open Sans" w:cs="Open Sans"/>
                <w:color w:val="000000" w:themeColor="dark1"/>
                <w:kern w:val="24"/>
                <w:sz w:val="18"/>
                <w:szCs w:val="18"/>
              </w:rPr>
              <w:t xml:space="preserve">gap </w:t>
            </w:r>
            <w:r w:rsidRPr="005D63F5">
              <w:rPr>
                <w:rFonts w:eastAsia="Open Sans" w:cs="Open Sans"/>
                <w:color w:val="000000" w:themeColor="dark1"/>
                <w:kern w:val="24"/>
                <w:sz w:val="18"/>
                <w:szCs w:val="18"/>
              </w:rPr>
              <w:t xml:space="preserve">can be predicted based on average trends. </w:t>
            </w:r>
          </w:p>
          <w:p w14:paraId="1D258302" w14:textId="77777777" w:rsidR="001A26BF" w:rsidRPr="000C6913"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5D63F5">
              <w:rPr>
                <w:rFonts w:eastAsia="Open Sans" w:cs="Open Sans"/>
                <w:color w:val="000000" w:themeColor="dark1"/>
                <w:kern w:val="24"/>
                <w:sz w:val="18"/>
                <w:szCs w:val="18"/>
              </w:rPr>
              <w:t>The proposed equity benchmark level will assume a trend faster than the predicted one.</w:t>
            </w:r>
          </w:p>
        </w:tc>
        <w:tc>
          <w:tcPr>
            <w:tcW w:w="1088" w:type="pct"/>
            <w:tcBorders>
              <w:top w:val="single" w:sz="12" w:space="0" w:color="FFFFFF"/>
              <w:left w:val="single" w:sz="12" w:space="0" w:color="FFFFFF"/>
              <w:bottom w:val="single" w:sz="12" w:space="0" w:color="FFFFFF"/>
              <w:right w:val="single" w:sz="12" w:space="0" w:color="FFFFFF"/>
            </w:tcBorders>
            <w:shd w:val="clear" w:color="auto" w:fill="FFF2CC" w:themeFill="accent4" w:themeFillTint="33"/>
            <w:tcMar>
              <w:top w:w="72" w:type="dxa"/>
              <w:left w:w="144" w:type="dxa"/>
              <w:bottom w:w="72" w:type="dxa"/>
              <w:right w:w="144" w:type="dxa"/>
            </w:tcMar>
          </w:tcPr>
          <w:p w14:paraId="431FABA8" w14:textId="77777777" w:rsidR="001A26BF"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Pr>
                <w:rFonts w:eastAsia="Open Sans" w:cs="Open Sans"/>
                <w:color w:val="000000" w:themeColor="dark1"/>
                <w:kern w:val="24"/>
                <w:sz w:val="18"/>
                <w:szCs w:val="18"/>
              </w:rPr>
              <w:t>Very simple and easy to understand.</w:t>
            </w:r>
          </w:p>
          <w:p w14:paraId="31093442" w14:textId="77777777" w:rsidR="001A26BF" w:rsidRPr="00750C6B"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Pr>
                <w:rFonts w:eastAsia="Open Sans" w:cs="Open Sans"/>
                <w:color w:val="000000" w:themeColor="dark1"/>
                <w:kern w:val="24"/>
                <w:sz w:val="18"/>
                <w:szCs w:val="18"/>
              </w:rPr>
              <w:t>Maintains focus on gender equality.</w:t>
            </w:r>
          </w:p>
        </w:tc>
        <w:tc>
          <w:tcPr>
            <w:tcW w:w="1306" w:type="pct"/>
            <w:tcBorders>
              <w:top w:val="single" w:sz="12" w:space="0" w:color="FFFFFF"/>
              <w:left w:val="single" w:sz="12" w:space="0" w:color="FFFFFF"/>
              <w:bottom w:val="single" w:sz="12" w:space="0" w:color="FFFFFF"/>
              <w:right w:val="single" w:sz="12" w:space="0" w:color="FFFFFF"/>
            </w:tcBorders>
            <w:shd w:val="clear" w:color="auto" w:fill="FFF2CC" w:themeFill="accent4" w:themeFillTint="33"/>
            <w:tcMar>
              <w:top w:w="72" w:type="dxa"/>
              <w:left w:w="144" w:type="dxa"/>
              <w:bottom w:w="72" w:type="dxa"/>
              <w:right w:w="144" w:type="dxa"/>
            </w:tcMar>
          </w:tcPr>
          <w:p w14:paraId="492694DA" w14:textId="77777777" w:rsidR="001A26BF" w:rsidRPr="005D63F5"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Pr>
                <w:rFonts w:eastAsia="Open Sans" w:cs="Open Sans"/>
                <w:color w:val="000000" w:themeColor="dark1"/>
                <w:kern w:val="24"/>
                <w:sz w:val="18"/>
                <w:szCs w:val="18"/>
              </w:rPr>
              <w:t xml:space="preserve">The gap is not an SDG 4 measure/indicator </w:t>
            </w:r>
          </w:p>
        </w:tc>
      </w:tr>
      <w:tr w:rsidR="001A26BF" w:rsidRPr="008A0FC3" w14:paraId="3BFFFC60" w14:textId="77777777" w:rsidTr="00F71F62">
        <w:trPr>
          <w:trHeight w:val="1370"/>
        </w:trPr>
        <w:tc>
          <w:tcPr>
            <w:tcW w:w="285" w:type="pct"/>
            <w:tcBorders>
              <w:top w:val="single" w:sz="12" w:space="0" w:color="FFFFFF"/>
              <w:left w:val="single" w:sz="12" w:space="0" w:color="FFFFFF"/>
              <w:bottom w:val="single" w:sz="12" w:space="0" w:color="FFFFFF"/>
              <w:right w:val="nil"/>
            </w:tcBorders>
            <w:shd w:val="clear" w:color="auto" w:fill="FBE5D6"/>
            <w:tcMar>
              <w:top w:w="72" w:type="dxa"/>
              <w:left w:w="144" w:type="dxa"/>
              <w:bottom w:w="72" w:type="dxa"/>
              <w:right w:w="144" w:type="dxa"/>
            </w:tcMar>
            <w:vAlign w:val="center"/>
          </w:tcPr>
          <w:p w14:paraId="14FA57E4" w14:textId="77777777" w:rsidR="001A26BF" w:rsidRDefault="001A26BF" w:rsidP="00F71F62">
            <w:pPr>
              <w:spacing w:after="0" w:line="240" w:lineRule="auto"/>
              <w:jc w:val="center"/>
              <w:rPr>
                <w:rFonts w:eastAsia="Open Sans" w:cs="Open Sans"/>
                <w:color w:val="000000" w:themeColor="dark1"/>
                <w:kern w:val="24"/>
                <w:szCs w:val="20"/>
                <w:lang w:val="en-CA"/>
              </w:rPr>
            </w:pPr>
            <w:r>
              <w:rPr>
                <w:rFonts w:eastAsia="Open Sans" w:cs="Open Sans"/>
                <w:color w:val="000000" w:themeColor="dark1"/>
                <w:kern w:val="24"/>
                <w:szCs w:val="20"/>
                <w:lang w:val="en-CA"/>
              </w:rPr>
              <w:t>2</w:t>
            </w:r>
          </w:p>
        </w:tc>
        <w:tc>
          <w:tcPr>
            <w:tcW w:w="726" w:type="pct"/>
            <w:tcBorders>
              <w:top w:val="single" w:sz="12" w:space="0" w:color="FFFFFF"/>
              <w:left w:val="nil"/>
              <w:bottom w:val="single" w:sz="12" w:space="0" w:color="FFFFFF"/>
              <w:right w:val="single" w:sz="12" w:space="0" w:color="FFFFFF"/>
            </w:tcBorders>
            <w:shd w:val="clear" w:color="auto" w:fill="FBE5D6"/>
            <w:tcMar>
              <w:top w:w="72" w:type="dxa"/>
              <w:left w:w="144" w:type="dxa"/>
              <w:bottom w:w="72" w:type="dxa"/>
              <w:right w:w="144" w:type="dxa"/>
            </w:tcMar>
            <w:vAlign w:val="center"/>
          </w:tcPr>
          <w:p w14:paraId="630A799A" w14:textId="77777777" w:rsidR="001A26BF" w:rsidRPr="005D63F5" w:rsidRDefault="001A26BF" w:rsidP="00F71F62">
            <w:pPr>
              <w:spacing w:after="0" w:line="240" w:lineRule="auto"/>
              <w:rPr>
                <w:rFonts w:eastAsia="Open Sans" w:cs="Open Sans"/>
                <w:b/>
                <w:bCs/>
                <w:smallCaps/>
                <w:color w:val="000000" w:themeColor="dark1"/>
                <w:kern w:val="24"/>
                <w:sz w:val="18"/>
                <w:szCs w:val="18"/>
                <w:lang w:val="en-CA"/>
              </w:rPr>
            </w:pPr>
            <w:r w:rsidRPr="005D63F5">
              <w:rPr>
                <w:rFonts w:eastAsia="Open Sans" w:cs="Open Sans"/>
                <w:b/>
                <w:bCs/>
                <w:smallCaps/>
                <w:color w:val="000000" w:themeColor="dark1"/>
                <w:kern w:val="24"/>
                <w:sz w:val="18"/>
                <w:szCs w:val="18"/>
                <w:lang w:val="en-CA"/>
              </w:rPr>
              <w:t>Gender o</w:t>
            </w:r>
            <w:r>
              <w:rPr>
                <w:rFonts w:eastAsia="Open Sans" w:cs="Open Sans"/>
                <w:b/>
                <w:bCs/>
                <w:smallCaps/>
                <w:color w:val="000000" w:themeColor="dark1"/>
                <w:kern w:val="24"/>
                <w:sz w:val="18"/>
                <w:szCs w:val="18"/>
                <w:lang w:val="en-CA"/>
              </w:rPr>
              <w:t xml:space="preserve">dds </w:t>
            </w:r>
            <w:r w:rsidRPr="005D63F5">
              <w:rPr>
                <w:rFonts w:eastAsia="Open Sans" w:cs="Open Sans"/>
                <w:b/>
                <w:bCs/>
                <w:smallCaps/>
                <w:color w:val="000000" w:themeColor="dark1"/>
                <w:kern w:val="24"/>
                <w:sz w:val="18"/>
                <w:szCs w:val="18"/>
                <w:lang w:val="en-CA"/>
              </w:rPr>
              <w:t>r</w:t>
            </w:r>
            <w:r>
              <w:rPr>
                <w:rFonts w:eastAsia="Open Sans" w:cs="Open Sans"/>
                <w:b/>
                <w:bCs/>
                <w:smallCaps/>
                <w:color w:val="000000" w:themeColor="dark1"/>
                <w:kern w:val="24"/>
                <w:sz w:val="18"/>
                <w:szCs w:val="18"/>
                <w:lang w:val="en-CA"/>
              </w:rPr>
              <w:t>a</w:t>
            </w:r>
            <w:r w:rsidRPr="005D63F5">
              <w:rPr>
                <w:rFonts w:eastAsia="Open Sans" w:cs="Open Sans"/>
                <w:b/>
                <w:bCs/>
                <w:smallCaps/>
                <w:color w:val="000000" w:themeColor="dark1"/>
                <w:kern w:val="24"/>
                <w:sz w:val="18"/>
                <w:szCs w:val="18"/>
                <w:lang w:val="en-CA"/>
              </w:rPr>
              <w:t>tio</w:t>
            </w:r>
            <w:r>
              <w:rPr>
                <w:rFonts w:eastAsia="Open Sans" w:cs="Open Sans"/>
                <w:b/>
                <w:bCs/>
                <w:smallCaps/>
                <w:color w:val="000000" w:themeColor="dark1"/>
                <w:kern w:val="24"/>
                <w:sz w:val="18"/>
                <w:szCs w:val="18"/>
                <w:lang w:val="en-CA"/>
              </w:rPr>
              <w:t xml:space="preserve"> </w:t>
            </w:r>
            <w:r w:rsidRPr="005D63F5">
              <w:rPr>
                <w:rFonts w:eastAsia="Open Sans" w:cs="Open Sans"/>
                <w:b/>
                <w:bCs/>
                <w:smallCaps/>
                <w:color w:val="000000" w:themeColor="dark1"/>
                <w:kern w:val="24"/>
                <w:sz w:val="18"/>
                <w:szCs w:val="18"/>
                <w:lang w:val="en-CA"/>
              </w:rPr>
              <w:t>of</w:t>
            </w:r>
            <w:r>
              <w:rPr>
                <w:rFonts w:eastAsia="Open Sans" w:cs="Open Sans"/>
                <w:b/>
                <w:bCs/>
                <w:smallCaps/>
                <w:color w:val="000000" w:themeColor="dark1"/>
                <w:kern w:val="24"/>
                <w:sz w:val="18"/>
                <w:szCs w:val="18"/>
                <w:lang w:val="en-CA"/>
              </w:rPr>
              <w:t xml:space="preserve"> secondary</w:t>
            </w:r>
            <w:r w:rsidRPr="005D63F5">
              <w:rPr>
                <w:rFonts w:eastAsia="Open Sans" w:cs="Open Sans"/>
                <w:b/>
                <w:bCs/>
                <w:smallCaps/>
                <w:color w:val="000000" w:themeColor="dark1"/>
                <w:kern w:val="24"/>
                <w:sz w:val="18"/>
                <w:szCs w:val="18"/>
                <w:lang w:val="en-CA"/>
              </w:rPr>
              <w:t xml:space="preserve"> completion rate</w:t>
            </w:r>
          </w:p>
        </w:tc>
        <w:tc>
          <w:tcPr>
            <w:tcW w:w="1595" w:type="pct"/>
            <w:tcBorders>
              <w:top w:val="single" w:sz="12" w:space="0" w:color="FFFFFF"/>
              <w:left w:val="single" w:sz="12" w:space="0" w:color="FFFFFF"/>
              <w:bottom w:val="single" w:sz="12" w:space="0" w:color="FFFFFF"/>
              <w:right w:val="single" w:sz="12" w:space="0" w:color="FFFFFF"/>
            </w:tcBorders>
            <w:shd w:val="clear" w:color="auto" w:fill="FBE5D6"/>
            <w:tcMar>
              <w:top w:w="72" w:type="dxa"/>
              <w:left w:w="144" w:type="dxa"/>
              <w:bottom w:w="72" w:type="dxa"/>
              <w:right w:w="144" w:type="dxa"/>
            </w:tcMar>
          </w:tcPr>
          <w:p w14:paraId="23E7F67E" w14:textId="77777777" w:rsidR="001A26BF" w:rsidRPr="000C6913"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0C6913">
              <w:rPr>
                <w:rFonts w:eastAsia="Open Sans" w:cs="Open Sans"/>
                <w:color w:val="000000" w:themeColor="dark1"/>
                <w:kern w:val="24"/>
                <w:sz w:val="18"/>
                <w:szCs w:val="18"/>
              </w:rPr>
              <w:t xml:space="preserve">Values set for completion rate. </w:t>
            </w:r>
          </w:p>
          <w:p w14:paraId="14E808AE" w14:textId="77777777" w:rsidR="001A26BF" w:rsidRPr="000C6913"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0C6913">
              <w:rPr>
                <w:rFonts w:eastAsia="Open Sans" w:cs="Open Sans"/>
                <w:color w:val="000000" w:themeColor="dark1"/>
                <w:kern w:val="24"/>
                <w:sz w:val="18"/>
                <w:szCs w:val="18"/>
              </w:rPr>
              <w:t xml:space="preserve">Levels and trends are more difficult to interpret </w:t>
            </w:r>
          </w:p>
        </w:tc>
        <w:tc>
          <w:tcPr>
            <w:tcW w:w="1088" w:type="pct"/>
            <w:tcBorders>
              <w:top w:val="single" w:sz="12" w:space="0" w:color="FFFFFF"/>
              <w:left w:val="single" w:sz="12" w:space="0" w:color="FFFFFF"/>
              <w:bottom w:val="single" w:sz="12" w:space="0" w:color="FFFFFF"/>
              <w:right w:val="single" w:sz="12" w:space="0" w:color="FFFFFF"/>
            </w:tcBorders>
            <w:shd w:val="clear" w:color="auto" w:fill="FBE5D6"/>
            <w:tcMar>
              <w:top w:w="72" w:type="dxa"/>
              <w:left w:w="144" w:type="dxa"/>
              <w:bottom w:w="72" w:type="dxa"/>
              <w:right w:w="144" w:type="dxa"/>
            </w:tcMar>
          </w:tcPr>
          <w:p w14:paraId="24A1CAF0" w14:textId="77777777" w:rsidR="001A26BF"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Pr>
                <w:rFonts w:eastAsia="Open Sans" w:cs="Open Sans"/>
                <w:color w:val="000000" w:themeColor="dark1"/>
                <w:kern w:val="24"/>
                <w:sz w:val="18"/>
                <w:szCs w:val="18"/>
              </w:rPr>
              <w:t>Easy to compute.</w:t>
            </w:r>
          </w:p>
          <w:p w14:paraId="6DF316DA" w14:textId="77777777" w:rsidR="001A26BF"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Pr>
                <w:rFonts w:eastAsia="Open Sans" w:cs="Open Sans"/>
                <w:color w:val="000000" w:themeColor="dark1"/>
                <w:kern w:val="24"/>
                <w:sz w:val="18"/>
                <w:szCs w:val="18"/>
              </w:rPr>
              <w:t>Only positive values (≥0)</w:t>
            </w:r>
          </w:p>
          <w:p w14:paraId="21C095D8" w14:textId="77777777" w:rsidR="001A26BF"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Pr>
                <w:rFonts w:eastAsia="Open Sans" w:cs="Open Sans"/>
                <w:color w:val="000000" w:themeColor="dark1"/>
                <w:kern w:val="24"/>
                <w:sz w:val="18"/>
                <w:szCs w:val="18"/>
              </w:rPr>
              <w:t>N</w:t>
            </w:r>
            <w:r w:rsidRPr="00D82429">
              <w:rPr>
                <w:rFonts w:eastAsia="Open Sans" w:cs="Open Sans"/>
                <w:color w:val="000000" w:themeColor="dark1"/>
                <w:kern w:val="24"/>
                <w:sz w:val="18"/>
                <w:szCs w:val="18"/>
              </w:rPr>
              <w:t>o ceiling effect.</w:t>
            </w:r>
          </w:p>
          <w:p w14:paraId="744141A1" w14:textId="77777777" w:rsidR="001A26BF" w:rsidRPr="00565D35" w:rsidRDefault="001A26BF" w:rsidP="00F71F62">
            <w:pPr>
              <w:spacing w:after="0" w:line="240" w:lineRule="auto"/>
              <w:rPr>
                <w:rFonts w:eastAsia="Open Sans" w:cs="Open Sans"/>
                <w:color w:val="000000" w:themeColor="dark1"/>
                <w:kern w:val="24"/>
                <w:sz w:val="18"/>
                <w:szCs w:val="18"/>
              </w:rPr>
            </w:pPr>
          </w:p>
        </w:tc>
        <w:tc>
          <w:tcPr>
            <w:tcW w:w="1306" w:type="pct"/>
            <w:tcBorders>
              <w:top w:val="single" w:sz="12" w:space="0" w:color="FFFFFF"/>
              <w:left w:val="single" w:sz="12" w:space="0" w:color="FFFFFF"/>
              <w:bottom w:val="single" w:sz="12" w:space="0" w:color="FFFFFF"/>
              <w:right w:val="single" w:sz="12" w:space="0" w:color="FFFFFF"/>
            </w:tcBorders>
            <w:shd w:val="clear" w:color="auto" w:fill="FBE5D6"/>
            <w:tcMar>
              <w:top w:w="72" w:type="dxa"/>
              <w:left w:w="144" w:type="dxa"/>
              <w:bottom w:w="72" w:type="dxa"/>
              <w:right w:w="144" w:type="dxa"/>
            </w:tcMar>
          </w:tcPr>
          <w:p w14:paraId="067FA63E" w14:textId="05901140" w:rsidR="001A26BF"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Pr>
                <w:rFonts w:eastAsia="Open Sans" w:cs="Open Sans"/>
                <w:color w:val="000000" w:themeColor="dark1"/>
                <w:kern w:val="24"/>
                <w:sz w:val="18"/>
                <w:szCs w:val="18"/>
              </w:rPr>
              <w:t xml:space="preserve">The odds ratio is not an SDG 4 </w:t>
            </w:r>
            <w:r w:rsidR="001D22CA">
              <w:rPr>
                <w:rFonts w:eastAsia="Open Sans" w:cs="Open Sans"/>
                <w:color w:val="000000" w:themeColor="dark1"/>
                <w:kern w:val="24"/>
                <w:sz w:val="18"/>
                <w:szCs w:val="18"/>
              </w:rPr>
              <w:t>m</w:t>
            </w:r>
            <w:r>
              <w:rPr>
                <w:rFonts w:eastAsia="Open Sans" w:cs="Open Sans"/>
                <w:color w:val="000000" w:themeColor="dark1"/>
                <w:kern w:val="24"/>
                <w:sz w:val="18"/>
                <w:szCs w:val="18"/>
              </w:rPr>
              <w:t>easure/</w:t>
            </w:r>
            <w:proofErr w:type="gramStart"/>
            <w:r>
              <w:rPr>
                <w:rFonts w:eastAsia="Open Sans" w:cs="Open Sans"/>
                <w:color w:val="000000" w:themeColor="dark1"/>
                <w:kern w:val="24"/>
                <w:sz w:val="18"/>
                <w:szCs w:val="18"/>
              </w:rPr>
              <w:t>indicator</w:t>
            </w:r>
            <w:proofErr w:type="gramEnd"/>
          </w:p>
          <w:p w14:paraId="6A194999" w14:textId="77777777" w:rsidR="001A26BF" w:rsidRDefault="001A26BF" w:rsidP="001F0525">
            <w:pPr>
              <w:pStyle w:val="ListParagraph"/>
              <w:keepNext/>
              <w:keepLines/>
              <w:numPr>
                <w:ilvl w:val="0"/>
                <w:numId w:val="5"/>
              </w:numPr>
              <w:spacing w:after="0" w:line="240" w:lineRule="auto"/>
              <w:ind w:left="142" w:hanging="142"/>
              <w:jc w:val="left"/>
              <w:rPr>
                <w:rFonts w:eastAsia="Open Sans" w:cs="Open Sans"/>
                <w:color w:val="000000" w:themeColor="dark1"/>
                <w:kern w:val="24"/>
                <w:sz w:val="18"/>
                <w:szCs w:val="18"/>
              </w:rPr>
            </w:pPr>
            <w:r w:rsidRPr="004E1984">
              <w:rPr>
                <w:rFonts w:eastAsia="Open Sans" w:cs="Open Sans"/>
                <w:color w:val="000000" w:themeColor="dark1"/>
                <w:kern w:val="24"/>
                <w:sz w:val="18"/>
                <w:szCs w:val="18"/>
              </w:rPr>
              <w:t xml:space="preserve">Difficult to </w:t>
            </w:r>
            <w:proofErr w:type="gramStart"/>
            <w:r w:rsidRPr="004E1984">
              <w:rPr>
                <w:rFonts w:eastAsia="Open Sans" w:cs="Open Sans"/>
                <w:color w:val="000000" w:themeColor="dark1"/>
                <w:kern w:val="24"/>
                <w:sz w:val="18"/>
                <w:szCs w:val="18"/>
              </w:rPr>
              <w:t>interpret</w:t>
            </w:r>
            <w:proofErr w:type="gramEnd"/>
          </w:p>
          <w:p w14:paraId="672971CF" w14:textId="77777777" w:rsidR="001A26BF" w:rsidRPr="005D63F5" w:rsidRDefault="001A26BF" w:rsidP="001F0525">
            <w:pPr>
              <w:pStyle w:val="ListParagraph"/>
              <w:keepNext/>
              <w:keepLines/>
              <w:numPr>
                <w:ilvl w:val="0"/>
                <w:numId w:val="5"/>
              </w:numPr>
              <w:spacing w:after="0" w:line="240" w:lineRule="auto"/>
              <w:ind w:left="142" w:hanging="142"/>
              <w:jc w:val="left"/>
              <w:rPr>
                <w:rFonts w:eastAsia="Open Sans" w:cs="Open Sans"/>
                <w:color w:val="000000" w:themeColor="dark1"/>
                <w:kern w:val="24"/>
                <w:sz w:val="18"/>
                <w:szCs w:val="18"/>
              </w:rPr>
            </w:pPr>
            <w:r w:rsidRPr="004E1984">
              <w:rPr>
                <w:rFonts w:eastAsia="Open Sans" w:cs="Open Sans"/>
                <w:color w:val="000000" w:themeColor="dark1"/>
                <w:kern w:val="24"/>
                <w:sz w:val="18"/>
                <w:szCs w:val="18"/>
              </w:rPr>
              <w:t>Can give very high levels of inequity when rates for subgroups are close to 100 %</w:t>
            </w:r>
          </w:p>
        </w:tc>
      </w:tr>
      <w:tr w:rsidR="001A26BF" w:rsidRPr="008A0FC3" w14:paraId="52996EC4" w14:textId="77777777" w:rsidTr="00F71F62">
        <w:trPr>
          <w:trHeight w:val="1370"/>
        </w:trPr>
        <w:tc>
          <w:tcPr>
            <w:tcW w:w="285" w:type="pct"/>
            <w:tcBorders>
              <w:top w:val="single" w:sz="12" w:space="0" w:color="FFFFFF"/>
              <w:left w:val="single" w:sz="12" w:space="0" w:color="FFFFFF"/>
              <w:bottom w:val="single" w:sz="12" w:space="0" w:color="FFFFFF"/>
              <w:right w:val="nil"/>
            </w:tcBorders>
            <w:shd w:val="clear" w:color="auto" w:fill="D0CECE" w:themeFill="background2" w:themeFillShade="E6"/>
            <w:tcMar>
              <w:top w:w="72" w:type="dxa"/>
              <w:left w:w="144" w:type="dxa"/>
              <w:bottom w:w="72" w:type="dxa"/>
              <w:right w:w="144" w:type="dxa"/>
            </w:tcMar>
            <w:vAlign w:val="center"/>
            <w:hideMark/>
          </w:tcPr>
          <w:p w14:paraId="6681B11C" w14:textId="77777777" w:rsidR="001A26BF" w:rsidRPr="005D63F5" w:rsidRDefault="001A26BF" w:rsidP="00F71F62">
            <w:pPr>
              <w:spacing w:after="0" w:line="240" w:lineRule="auto"/>
              <w:jc w:val="center"/>
              <w:rPr>
                <w:rFonts w:ascii="Arial" w:eastAsia="Times New Roman" w:hAnsi="Arial" w:cs="Arial"/>
                <w:szCs w:val="20"/>
                <w:lang w:val="en-GB"/>
              </w:rPr>
            </w:pPr>
            <w:r>
              <w:rPr>
                <w:rFonts w:eastAsia="Open Sans" w:cs="Open Sans"/>
                <w:color w:val="000000" w:themeColor="dark1"/>
                <w:kern w:val="24"/>
                <w:szCs w:val="20"/>
                <w:lang w:val="en-CA"/>
              </w:rPr>
              <w:lastRenderedPageBreak/>
              <w:t>3</w:t>
            </w:r>
          </w:p>
        </w:tc>
        <w:tc>
          <w:tcPr>
            <w:tcW w:w="726" w:type="pct"/>
            <w:tcBorders>
              <w:top w:val="single" w:sz="12" w:space="0" w:color="FFFFFF"/>
              <w:left w:val="nil"/>
              <w:bottom w:val="single" w:sz="12" w:space="0" w:color="FFFFFF"/>
              <w:right w:val="single" w:sz="12" w:space="0" w:color="FFFFFF"/>
            </w:tcBorders>
            <w:shd w:val="clear" w:color="auto" w:fill="D0CECE" w:themeFill="background2" w:themeFillShade="E6"/>
            <w:tcMar>
              <w:top w:w="72" w:type="dxa"/>
              <w:left w:w="144" w:type="dxa"/>
              <w:bottom w:w="72" w:type="dxa"/>
              <w:right w:w="144" w:type="dxa"/>
            </w:tcMar>
            <w:vAlign w:val="center"/>
            <w:hideMark/>
          </w:tcPr>
          <w:p w14:paraId="18746EE5" w14:textId="77777777" w:rsidR="001A26BF" w:rsidRPr="005D63F5" w:rsidRDefault="001A26BF" w:rsidP="00F71F62">
            <w:pPr>
              <w:spacing w:after="0" w:line="240" w:lineRule="auto"/>
              <w:rPr>
                <w:rFonts w:ascii="Arial" w:eastAsia="Times New Roman" w:hAnsi="Arial" w:cs="Arial"/>
                <w:sz w:val="18"/>
                <w:szCs w:val="18"/>
                <w:lang w:val="en-GB"/>
              </w:rPr>
            </w:pPr>
            <w:r w:rsidRPr="005D63F5">
              <w:rPr>
                <w:rFonts w:eastAsia="Open Sans" w:cs="Open Sans"/>
                <w:b/>
                <w:bCs/>
                <w:smallCaps/>
                <w:color w:val="000000" w:themeColor="dark1"/>
                <w:kern w:val="24"/>
                <w:sz w:val="18"/>
                <w:szCs w:val="18"/>
                <w:lang w:val="en-CA"/>
              </w:rPr>
              <w:t xml:space="preserve">Gender Parity index of </w:t>
            </w:r>
            <w:r>
              <w:rPr>
                <w:rFonts w:eastAsia="Open Sans" w:cs="Open Sans"/>
                <w:b/>
                <w:bCs/>
                <w:smallCaps/>
                <w:color w:val="000000" w:themeColor="dark1"/>
                <w:kern w:val="24"/>
                <w:sz w:val="18"/>
                <w:szCs w:val="18"/>
                <w:lang w:val="en-CA"/>
              </w:rPr>
              <w:t xml:space="preserve">secondary </w:t>
            </w:r>
            <w:r w:rsidRPr="005D63F5">
              <w:rPr>
                <w:rFonts w:eastAsia="Open Sans" w:cs="Open Sans"/>
                <w:b/>
                <w:bCs/>
                <w:smallCaps/>
                <w:color w:val="000000" w:themeColor="dark1"/>
                <w:kern w:val="24"/>
                <w:sz w:val="18"/>
                <w:szCs w:val="18"/>
                <w:lang w:val="en-CA"/>
              </w:rPr>
              <w:t>completion rate</w:t>
            </w:r>
          </w:p>
        </w:tc>
        <w:tc>
          <w:tcPr>
            <w:tcW w:w="1595" w:type="pct"/>
            <w:tcBorders>
              <w:top w:val="single" w:sz="12" w:space="0" w:color="FFFFFF"/>
              <w:left w:val="single" w:sz="12" w:space="0" w:color="FFFFFF"/>
              <w:bottom w:val="single" w:sz="12" w:space="0" w:color="FFFFFF"/>
              <w:right w:val="single" w:sz="12" w:space="0" w:color="FFFFFF"/>
            </w:tcBorders>
            <w:shd w:val="clear" w:color="auto" w:fill="D0CECE" w:themeFill="background2" w:themeFillShade="E6"/>
            <w:tcMar>
              <w:top w:w="72" w:type="dxa"/>
              <w:left w:w="144" w:type="dxa"/>
              <w:bottom w:w="72" w:type="dxa"/>
              <w:right w:w="144" w:type="dxa"/>
            </w:tcMar>
            <w:hideMark/>
          </w:tcPr>
          <w:p w14:paraId="45CEF400" w14:textId="77777777" w:rsidR="001A26BF" w:rsidRPr="000C6913"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0C6913">
              <w:rPr>
                <w:rFonts w:eastAsia="Open Sans" w:cs="Open Sans"/>
                <w:color w:val="000000" w:themeColor="dark1"/>
                <w:kern w:val="24"/>
                <w:sz w:val="18"/>
                <w:szCs w:val="18"/>
              </w:rPr>
              <w:t xml:space="preserve">Values set for completion rate. </w:t>
            </w:r>
          </w:p>
          <w:p w14:paraId="2F736F4E" w14:textId="77777777" w:rsidR="001A26BF" w:rsidRPr="000C6913"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0C6913">
              <w:rPr>
                <w:rFonts w:eastAsia="Open Sans" w:cs="Open Sans"/>
                <w:color w:val="000000" w:themeColor="dark1"/>
                <w:kern w:val="24"/>
                <w:sz w:val="18"/>
                <w:szCs w:val="18"/>
              </w:rPr>
              <w:t xml:space="preserve">The change on the gender parity index can be predicted based on average trends. </w:t>
            </w:r>
          </w:p>
          <w:p w14:paraId="7A81CBDD" w14:textId="77777777" w:rsidR="001A26BF" w:rsidRPr="000C6913"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0C6913">
              <w:rPr>
                <w:rFonts w:eastAsia="Open Sans" w:cs="Open Sans"/>
                <w:color w:val="000000" w:themeColor="dark1"/>
                <w:kern w:val="24"/>
                <w:sz w:val="18"/>
                <w:szCs w:val="18"/>
              </w:rPr>
              <w:t>The proposed equity benchmark level will assume a trend faster than the predicted one.</w:t>
            </w:r>
          </w:p>
        </w:tc>
        <w:tc>
          <w:tcPr>
            <w:tcW w:w="1088" w:type="pct"/>
            <w:tcBorders>
              <w:top w:val="single" w:sz="12" w:space="0" w:color="FFFFFF"/>
              <w:left w:val="single" w:sz="12" w:space="0" w:color="FFFFFF"/>
              <w:bottom w:val="single" w:sz="12" w:space="0" w:color="FFFFFF"/>
              <w:right w:val="single" w:sz="12" w:space="0" w:color="FFFFFF"/>
            </w:tcBorders>
            <w:shd w:val="clear" w:color="auto" w:fill="D0CECE" w:themeFill="background2" w:themeFillShade="E6"/>
            <w:tcMar>
              <w:top w:w="72" w:type="dxa"/>
              <w:left w:w="144" w:type="dxa"/>
              <w:bottom w:w="72" w:type="dxa"/>
              <w:right w:w="144" w:type="dxa"/>
            </w:tcMar>
            <w:hideMark/>
          </w:tcPr>
          <w:p w14:paraId="6076D6E4" w14:textId="77777777" w:rsidR="001A26BF" w:rsidRPr="00750C6B" w:rsidRDefault="001A26BF" w:rsidP="001A26BF">
            <w:pPr>
              <w:pStyle w:val="ListParagraph"/>
              <w:numPr>
                <w:ilvl w:val="0"/>
                <w:numId w:val="5"/>
              </w:numPr>
              <w:spacing w:after="0" w:line="240" w:lineRule="auto"/>
              <w:ind w:left="141" w:hanging="141"/>
              <w:jc w:val="left"/>
              <w:rPr>
                <w:rFonts w:ascii="Arial" w:eastAsia="Times New Roman" w:hAnsi="Arial" w:cs="Arial"/>
                <w:sz w:val="18"/>
                <w:szCs w:val="18"/>
                <w:lang w:val="en-GB"/>
              </w:rPr>
            </w:pPr>
            <w:r w:rsidRPr="00750C6B">
              <w:rPr>
                <w:rFonts w:eastAsia="Open Sans" w:cs="Open Sans"/>
                <w:color w:val="000000" w:themeColor="dark1"/>
                <w:kern w:val="24"/>
                <w:sz w:val="18"/>
                <w:szCs w:val="18"/>
              </w:rPr>
              <w:t xml:space="preserve">Maintains a compact set of indicators related to each other. </w:t>
            </w:r>
          </w:p>
          <w:p w14:paraId="4A1EE18A" w14:textId="77777777" w:rsidR="001A26BF" w:rsidRPr="00AD7A94" w:rsidRDefault="001A26BF" w:rsidP="001A26BF">
            <w:pPr>
              <w:pStyle w:val="ListParagraph"/>
              <w:numPr>
                <w:ilvl w:val="0"/>
                <w:numId w:val="5"/>
              </w:numPr>
              <w:spacing w:after="0" w:line="240" w:lineRule="auto"/>
              <w:ind w:left="141" w:hanging="141"/>
              <w:jc w:val="left"/>
              <w:rPr>
                <w:rFonts w:ascii="Arial" w:eastAsia="Times New Roman" w:hAnsi="Arial" w:cs="Arial"/>
                <w:sz w:val="18"/>
                <w:szCs w:val="18"/>
                <w:lang w:val="en-GB"/>
              </w:rPr>
            </w:pPr>
            <w:r w:rsidRPr="00750C6B">
              <w:rPr>
                <w:rFonts w:eastAsia="Open Sans" w:cs="Open Sans"/>
                <w:color w:val="000000" w:themeColor="dark1"/>
                <w:kern w:val="24"/>
                <w:sz w:val="18"/>
                <w:szCs w:val="18"/>
              </w:rPr>
              <w:t>Relatively transparent</w:t>
            </w:r>
            <w:r>
              <w:rPr>
                <w:rFonts w:eastAsia="Open Sans" w:cs="Open Sans"/>
                <w:color w:val="000000" w:themeColor="dark1"/>
                <w:kern w:val="24"/>
                <w:sz w:val="18"/>
                <w:szCs w:val="18"/>
              </w:rPr>
              <w:t>.</w:t>
            </w:r>
          </w:p>
        </w:tc>
        <w:tc>
          <w:tcPr>
            <w:tcW w:w="1306" w:type="pct"/>
            <w:tcBorders>
              <w:top w:val="single" w:sz="12" w:space="0" w:color="FFFFFF"/>
              <w:left w:val="single" w:sz="12" w:space="0" w:color="FFFFFF"/>
              <w:bottom w:val="single" w:sz="12" w:space="0" w:color="FFFFFF"/>
              <w:right w:val="single" w:sz="12" w:space="0" w:color="FFFFFF"/>
            </w:tcBorders>
            <w:shd w:val="clear" w:color="auto" w:fill="D0CECE" w:themeFill="background2" w:themeFillShade="E6"/>
            <w:tcMar>
              <w:top w:w="72" w:type="dxa"/>
              <w:left w:w="144" w:type="dxa"/>
              <w:bottom w:w="72" w:type="dxa"/>
              <w:right w:w="144" w:type="dxa"/>
            </w:tcMar>
            <w:hideMark/>
          </w:tcPr>
          <w:p w14:paraId="1DBF3683" w14:textId="77777777" w:rsidR="001A26BF"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5D63F5">
              <w:rPr>
                <w:rFonts w:eastAsia="Open Sans" w:cs="Open Sans"/>
                <w:color w:val="000000" w:themeColor="dark1"/>
                <w:kern w:val="24"/>
                <w:sz w:val="18"/>
                <w:szCs w:val="18"/>
              </w:rPr>
              <w:t>Difficult to interpret trends</w:t>
            </w:r>
            <w:r>
              <w:rPr>
                <w:rFonts w:eastAsia="Open Sans" w:cs="Open Sans"/>
                <w:color w:val="000000" w:themeColor="dark1"/>
                <w:kern w:val="24"/>
                <w:sz w:val="18"/>
                <w:szCs w:val="18"/>
              </w:rPr>
              <w:t>.</w:t>
            </w:r>
          </w:p>
          <w:p w14:paraId="4B9B0F17" w14:textId="77777777" w:rsidR="001A26BF" w:rsidRPr="000C6913"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0C6913">
              <w:rPr>
                <w:rFonts w:eastAsia="Open Sans" w:cs="Open Sans"/>
                <w:color w:val="000000" w:themeColor="dark1"/>
                <w:kern w:val="24"/>
                <w:sz w:val="18"/>
                <w:szCs w:val="18"/>
              </w:rPr>
              <w:t>Ceiling effect</w:t>
            </w:r>
          </w:p>
          <w:p w14:paraId="169EB47C" w14:textId="77777777" w:rsidR="001A26BF" w:rsidRPr="000C6913"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0C6913">
              <w:rPr>
                <w:rFonts w:eastAsia="Open Sans" w:cs="Open Sans"/>
                <w:color w:val="000000" w:themeColor="dark1"/>
                <w:kern w:val="24"/>
                <w:sz w:val="18"/>
                <w:szCs w:val="18"/>
              </w:rPr>
              <w:t>Correlation with average (when average closer to 100 %, ratio closer to 1)</w:t>
            </w:r>
          </w:p>
          <w:p w14:paraId="617EA554" w14:textId="77777777" w:rsidR="001A26BF" w:rsidRPr="000C6913"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0C6913">
              <w:rPr>
                <w:rFonts w:eastAsia="Open Sans" w:cs="Open Sans"/>
                <w:color w:val="000000" w:themeColor="dark1"/>
                <w:kern w:val="24"/>
                <w:sz w:val="18"/>
                <w:szCs w:val="18"/>
              </w:rPr>
              <w:t>Differences depending on whether we observe the result or its opposite</w:t>
            </w:r>
          </w:p>
        </w:tc>
      </w:tr>
      <w:tr w:rsidR="001A26BF" w:rsidRPr="005D63F5" w14:paraId="71F73FAB" w14:textId="77777777" w:rsidTr="00F71F62">
        <w:trPr>
          <w:trHeight w:val="1933"/>
        </w:trPr>
        <w:tc>
          <w:tcPr>
            <w:tcW w:w="285" w:type="pct"/>
            <w:tcBorders>
              <w:top w:val="single" w:sz="12" w:space="0" w:color="FFFFFF"/>
              <w:left w:val="single" w:sz="12" w:space="0" w:color="FFFFFF"/>
              <w:bottom w:val="single" w:sz="12" w:space="0" w:color="FFFFFF"/>
              <w:right w:val="nil"/>
            </w:tcBorders>
            <w:shd w:val="clear" w:color="auto" w:fill="E2F0D9"/>
            <w:tcMar>
              <w:top w:w="72" w:type="dxa"/>
              <w:left w:w="144" w:type="dxa"/>
              <w:bottom w:w="72" w:type="dxa"/>
              <w:right w:w="144" w:type="dxa"/>
            </w:tcMar>
            <w:vAlign w:val="center"/>
            <w:hideMark/>
          </w:tcPr>
          <w:p w14:paraId="633B3A94" w14:textId="77777777" w:rsidR="001A26BF" w:rsidRPr="005D63F5" w:rsidRDefault="001A26BF" w:rsidP="00F71F62">
            <w:pPr>
              <w:spacing w:after="0" w:line="240" w:lineRule="auto"/>
              <w:jc w:val="center"/>
              <w:rPr>
                <w:rFonts w:ascii="Arial" w:eastAsia="Times New Roman" w:hAnsi="Arial" w:cs="Arial"/>
                <w:szCs w:val="20"/>
                <w:lang w:val="en-GB"/>
              </w:rPr>
            </w:pPr>
            <w:r>
              <w:rPr>
                <w:rFonts w:eastAsia="Open Sans" w:cs="Open Sans"/>
                <w:color w:val="000000" w:themeColor="dark1"/>
                <w:kern w:val="24"/>
                <w:szCs w:val="20"/>
                <w:lang w:val="en-CA"/>
              </w:rPr>
              <w:t>4</w:t>
            </w:r>
          </w:p>
        </w:tc>
        <w:tc>
          <w:tcPr>
            <w:tcW w:w="726" w:type="pct"/>
            <w:tcBorders>
              <w:top w:val="single" w:sz="12" w:space="0" w:color="FFFFFF"/>
              <w:left w:val="nil"/>
              <w:bottom w:val="single" w:sz="12" w:space="0" w:color="FFFFFF"/>
              <w:right w:val="single" w:sz="12" w:space="0" w:color="FFFFFF"/>
            </w:tcBorders>
            <w:shd w:val="clear" w:color="auto" w:fill="E2F0D9"/>
            <w:tcMar>
              <w:top w:w="72" w:type="dxa"/>
              <w:left w:w="144" w:type="dxa"/>
              <w:bottom w:w="72" w:type="dxa"/>
              <w:right w:w="144" w:type="dxa"/>
            </w:tcMar>
            <w:vAlign w:val="center"/>
            <w:hideMark/>
          </w:tcPr>
          <w:p w14:paraId="724336C0" w14:textId="77777777" w:rsidR="001A26BF" w:rsidRPr="005D63F5" w:rsidRDefault="001A26BF" w:rsidP="00F71F62">
            <w:pPr>
              <w:spacing w:after="0" w:line="240" w:lineRule="auto"/>
              <w:rPr>
                <w:rFonts w:ascii="Arial" w:eastAsia="Times New Roman" w:hAnsi="Arial" w:cs="Arial"/>
                <w:sz w:val="18"/>
                <w:szCs w:val="18"/>
                <w:lang w:val="en-GB"/>
              </w:rPr>
            </w:pPr>
            <w:r w:rsidRPr="005D63F5">
              <w:rPr>
                <w:rFonts w:eastAsia="Open Sans" w:cs="Open Sans"/>
                <w:b/>
                <w:bCs/>
                <w:smallCaps/>
                <w:color w:val="000000" w:themeColor="dark1"/>
                <w:kern w:val="24"/>
                <w:sz w:val="18"/>
                <w:szCs w:val="18"/>
                <w:lang w:val="en-CA"/>
              </w:rPr>
              <w:t>Residual of a regression on the parity index on the</w:t>
            </w:r>
            <w:r>
              <w:rPr>
                <w:rFonts w:eastAsia="Open Sans" w:cs="Open Sans"/>
                <w:b/>
                <w:bCs/>
                <w:smallCaps/>
                <w:color w:val="000000" w:themeColor="dark1"/>
                <w:kern w:val="24"/>
                <w:sz w:val="18"/>
                <w:szCs w:val="18"/>
                <w:lang w:val="en-CA"/>
              </w:rPr>
              <w:t xml:space="preserve"> secondary</w:t>
            </w:r>
            <w:r w:rsidRPr="005D63F5">
              <w:rPr>
                <w:rFonts w:eastAsia="Open Sans" w:cs="Open Sans"/>
                <w:b/>
                <w:bCs/>
                <w:smallCaps/>
                <w:color w:val="000000" w:themeColor="dark1"/>
                <w:kern w:val="24"/>
                <w:sz w:val="18"/>
                <w:szCs w:val="18"/>
                <w:lang w:val="en-CA"/>
              </w:rPr>
              <w:t xml:space="preserve"> completion rate</w:t>
            </w:r>
          </w:p>
        </w:tc>
        <w:tc>
          <w:tcPr>
            <w:tcW w:w="1595" w:type="pct"/>
            <w:tcBorders>
              <w:top w:val="single" w:sz="12" w:space="0" w:color="FFFFFF"/>
              <w:left w:val="single" w:sz="12" w:space="0" w:color="FFFFFF"/>
              <w:bottom w:val="single" w:sz="12" w:space="0" w:color="FFFFFF"/>
              <w:right w:val="single" w:sz="12" w:space="0" w:color="FFFFFF"/>
            </w:tcBorders>
            <w:shd w:val="clear" w:color="auto" w:fill="E2F0D9"/>
            <w:tcMar>
              <w:top w:w="72" w:type="dxa"/>
              <w:left w:w="144" w:type="dxa"/>
              <w:bottom w:w="72" w:type="dxa"/>
              <w:right w:w="144" w:type="dxa"/>
            </w:tcMar>
            <w:hideMark/>
          </w:tcPr>
          <w:p w14:paraId="17984EAD" w14:textId="77777777" w:rsidR="001A26BF" w:rsidRPr="000C6913"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5D63F5">
              <w:rPr>
                <w:rFonts w:eastAsia="Open Sans" w:cs="Open Sans"/>
                <w:color w:val="000000" w:themeColor="dark1"/>
                <w:kern w:val="24"/>
                <w:sz w:val="18"/>
                <w:szCs w:val="18"/>
              </w:rPr>
              <w:t>A regression of the gender parity index on the completion rate will generate the predicted level of the index at each level of the completion rate. The equity benchmark level will be proposed assuming that progress towards the global trend will be faster than average.</w:t>
            </w:r>
          </w:p>
        </w:tc>
        <w:tc>
          <w:tcPr>
            <w:tcW w:w="1088" w:type="pct"/>
            <w:tcBorders>
              <w:top w:val="single" w:sz="12" w:space="0" w:color="FFFFFF"/>
              <w:left w:val="single" w:sz="12" w:space="0" w:color="FFFFFF"/>
              <w:bottom w:val="single" w:sz="12" w:space="0" w:color="FFFFFF"/>
              <w:right w:val="single" w:sz="12" w:space="0" w:color="FFFFFF"/>
            </w:tcBorders>
            <w:shd w:val="clear" w:color="auto" w:fill="E2F0D9"/>
            <w:tcMar>
              <w:top w:w="72" w:type="dxa"/>
              <w:left w:w="144" w:type="dxa"/>
              <w:bottom w:w="72" w:type="dxa"/>
              <w:right w:w="144" w:type="dxa"/>
            </w:tcMar>
            <w:hideMark/>
          </w:tcPr>
          <w:p w14:paraId="490EFE1E" w14:textId="77777777" w:rsidR="001A26BF" w:rsidRPr="000C6913"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5D63F5">
              <w:rPr>
                <w:rFonts w:eastAsia="Open Sans" w:cs="Open Sans"/>
                <w:color w:val="000000" w:themeColor="dark1"/>
                <w:kern w:val="24"/>
                <w:sz w:val="18"/>
                <w:szCs w:val="18"/>
              </w:rPr>
              <w:t>Need to focus on countries with disparities higher than average</w:t>
            </w:r>
            <w:r>
              <w:rPr>
                <w:rFonts w:eastAsia="Open Sans" w:cs="Open Sans"/>
                <w:color w:val="000000" w:themeColor="dark1"/>
                <w:kern w:val="24"/>
                <w:sz w:val="18"/>
                <w:szCs w:val="18"/>
              </w:rPr>
              <w:t>.</w:t>
            </w:r>
          </w:p>
        </w:tc>
        <w:tc>
          <w:tcPr>
            <w:tcW w:w="1306" w:type="pct"/>
            <w:tcBorders>
              <w:top w:val="single" w:sz="12" w:space="0" w:color="FFFFFF"/>
              <w:left w:val="single" w:sz="12" w:space="0" w:color="FFFFFF"/>
              <w:bottom w:val="single" w:sz="12" w:space="0" w:color="FFFFFF"/>
              <w:right w:val="single" w:sz="12" w:space="0" w:color="FFFFFF"/>
            </w:tcBorders>
            <w:shd w:val="clear" w:color="auto" w:fill="E2F0D9"/>
            <w:tcMar>
              <w:top w:w="72" w:type="dxa"/>
              <w:left w:w="144" w:type="dxa"/>
              <w:bottom w:w="72" w:type="dxa"/>
              <w:right w:w="144" w:type="dxa"/>
            </w:tcMar>
            <w:hideMark/>
          </w:tcPr>
          <w:p w14:paraId="5F37925F" w14:textId="77777777" w:rsidR="001A26BF" w:rsidRPr="000C6913"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9C05DB">
              <w:rPr>
                <w:rFonts w:eastAsia="Open Sans" w:cs="Open Sans"/>
                <w:color w:val="000000" w:themeColor="dark1"/>
                <w:kern w:val="24"/>
                <w:sz w:val="18"/>
                <w:szCs w:val="18"/>
              </w:rPr>
              <w:t>Difficult to interpret</w:t>
            </w:r>
            <w:r>
              <w:rPr>
                <w:rFonts w:eastAsia="Open Sans" w:cs="Open Sans"/>
                <w:color w:val="000000" w:themeColor="dark1"/>
                <w:kern w:val="24"/>
                <w:sz w:val="18"/>
                <w:szCs w:val="18"/>
              </w:rPr>
              <w:t>.</w:t>
            </w:r>
          </w:p>
        </w:tc>
      </w:tr>
      <w:tr w:rsidR="001A26BF" w:rsidRPr="008A0FC3" w14:paraId="0ABB4486" w14:textId="77777777" w:rsidTr="00F71F62">
        <w:trPr>
          <w:trHeight w:val="547"/>
        </w:trPr>
        <w:tc>
          <w:tcPr>
            <w:tcW w:w="285" w:type="pct"/>
            <w:tcBorders>
              <w:top w:val="single" w:sz="12" w:space="0" w:color="FFFFFF"/>
              <w:left w:val="single" w:sz="12" w:space="0" w:color="FFFFFF"/>
              <w:bottom w:val="single" w:sz="12" w:space="0" w:color="FFFFFF"/>
              <w:right w:val="nil"/>
            </w:tcBorders>
            <w:shd w:val="clear" w:color="auto" w:fill="DAE3F3"/>
            <w:tcMar>
              <w:top w:w="72" w:type="dxa"/>
              <w:left w:w="144" w:type="dxa"/>
              <w:bottom w:w="72" w:type="dxa"/>
              <w:right w:w="144" w:type="dxa"/>
            </w:tcMar>
            <w:vAlign w:val="center"/>
            <w:hideMark/>
          </w:tcPr>
          <w:p w14:paraId="3552784F" w14:textId="77777777" w:rsidR="001A26BF" w:rsidRPr="005D63F5" w:rsidRDefault="001A26BF" w:rsidP="00F71F62">
            <w:pPr>
              <w:spacing w:after="0" w:line="240" w:lineRule="auto"/>
              <w:jc w:val="center"/>
              <w:rPr>
                <w:rFonts w:ascii="Arial" w:eastAsia="Times New Roman" w:hAnsi="Arial" w:cs="Arial"/>
                <w:szCs w:val="20"/>
                <w:lang w:val="en-GB"/>
              </w:rPr>
            </w:pPr>
            <w:r>
              <w:rPr>
                <w:rFonts w:eastAsia="Open Sans" w:cs="Open Sans"/>
                <w:color w:val="000000" w:themeColor="dark1"/>
                <w:kern w:val="24"/>
                <w:szCs w:val="20"/>
                <w:lang w:val="en-CA"/>
              </w:rPr>
              <w:t>5</w:t>
            </w:r>
          </w:p>
        </w:tc>
        <w:tc>
          <w:tcPr>
            <w:tcW w:w="726" w:type="pct"/>
            <w:tcBorders>
              <w:top w:val="single" w:sz="12" w:space="0" w:color="FFFFFF"/>
              <w:left w:val="nil"/>
              <w:bottom w:val="single" w:sz="12" w:space="0" w:color="FFFFFF"/>
              <w:right w:val="single" w:sz="12" w:space="0" w:color="FFFFFF"/>
            </w:tcBorders>
            <w:shd w:val="clear" w:color="auto" w:fill="DAE3F3"/>
            <w:tcMar>
              <w:top w:w="72" w:type="dxa"/>
              <w:left w:w="144" w:type="dxa"/>
              <w:bottom w:w="72" w:type="dxa"/>
              <w:right w:w="144" w:type="dxa"/>
            </w:tcMar>
            <w:vAlign w:val="center"/>
            <w:hideMark/>
          </w:tcPr>
          <w:p w14:paraId="37DE4BD6" w14:textId="77777777" w:rsidR="001A26BF" w:rsidRPr="005D63F5" w:rsidRDefault="001A26BF" w:rsidP="00F71F62">
            <w:pPr>
              <w:spacing w:after="0" w:line="240" w:lineRule="auto"/>
              <w:rPr>
                <w:rFonts w:ascii="Arial" w:eastAsia="Times New Roman" w:hAnsi="Arial" w:cs="Arial"/>
                <w:sz w:val="18"/>
                <w:szCs w:val="18"/>
                <w:lang w:val="en-GB"/>
              </w:rPr>
            </w:pPr>
            <w:r w:rsidRPr="005D63F5">
              <w:rPr>
                <w:rFonts w:eastAsia="Open Sans" w:cs="Open Sans"/>
                <w:b/>
                <w:bCs/>
                <w:smallCaps/>
                <w:color w:val="000000" w:themeColor="dark1"/>
                <w:kern w:val="24"/>
                <w:sz w:val="18"/>
                <w:szCs w:val="18"/>
                <w:lang w:val="en-CA"/>
              </w:rPr>
              <w:t>Standard deviation of secondary completion rate by survey cluster</w:t>
            </w:r>
          </w:p>
        </w:tc>
        <w:tc>
          <w:tcPr>
            <w:tcW w:w="1595" w:type="pct"/>
            <w:tcBorders>
              <w:top w:val="single" w:sz="12" w:space="0" w:color="FFFFFF"/>
              <w:left w:val="single" w:sz="12" w:space="0" w:color="FFFFFF"/>
              <w:bottom w:val="single" w:sz="12" w:space="0" w:color="FFFFFF"/>
              <w:right w:val="single" w:sz="12" w:space="0" w:color="FFFFFF"/>
            </w:tcBorders>
            <w:shd w:val="clear" w:color="auto" w:fill="DAE3F3"/>
            <w:tcMar>
              <w:top w:w="72" w:type="dxa"/>
              <w:left w:w="144" w:type="dxa"/>
              <w:bottom w:w="72" w:type="dxa"/>
              <w:right w:w="144" w:type="dxa"/>
            </w:tcMar>
            <w:hideMark/>
          </w:tcPr>
          <w:p w14:paraId="6610221D" w14:textId="77777777" w:rsidR="001A26BF" w:rsidRPr="00344288"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5D63F5">
              <w:rPr>
                <w:rFonts w:eastAsia="Open Sans" w:cs="Open Sans"/>
                <w:color w:val="000000" w:themeColor="dark1"/>
                <w:kern w:val="24"/>
                <w:sz w:val="18"/>
                <w:szCs w:val="18"/>
              </w:rPr>
              <w:t>No clear benchmark setting process</w:t>
            </w:r>
            <w:r>
              <w:rPr>
                <w:rFonts w:eastAsia="Open Sans" w:cs="Open Sans"/>
                <w:color w:val="000000" w:themeColor="dark1"/>
                <w:kern w:val="24"/>
                <w:sz w:val="18"/>
                <w:szCs w:val="18"/>
              </w:rPr>
              <w:t>;</w:t>
            </w:r>
            <w:r w:rsidRPr="005D63F5">
              <w:rPr>
                <w:rFonts w:eastAsia="Open Sans" w:cs="Open Sans"/>
                <w:color w:val="000000" w:themeColor="dark1"/>
                <w:kern w:val="24"/>
                <w:sz w:val="18"/>
                <w:szCs w:val="18"/>
              </w:rPr>
              <w:t xml:space="preserve"> 2 alternatives:</w:t>
            </w:r>
          </w:p>
          <w:p w14:paraId="13F9966B" w14:textId="77777777" w:rsidR="001A26BF" w:rsidRPr="00211C18" w:rsidRDefault="001A26BF" w:rsidP="001A26BF">
            <w:pPr>
              <w:numPr>
                <w:ilvl w:val="0"/>
                <w:numId w:val="2"/>
              </w:numPr>
              <w:spacing w:after="0" w:line="240" w:lineRule="auto"/>
              <w:ind w:left="267" w:hanging="267"/>
              <w:contextualSpacing/>
              <w:rPr>
                <w:rFonts w:ascii="Open Sans" w:eastAsia="Times New Roman" w:hAnsi="Open Sans" w:cs="Open Sans"/>
                <w:sz w:val="18"/>
                <w:szCs w:val="18"/>
                <w:lang w:val="en-GB"/>
              </w:rPr>
            </w:pPr>
            <w:r w:rsidRPr="00211C18">
              <w:rPr>
                <w:rFonts w:ascii="Open Sans" w:eastAsia="Open Sans" w:hAnsi="Open Sans" w:cs="Open Sans"/>
                <w:color w:val="000000" w:themeColor="dark1"/>
                <w:kern w:val="24"/>
                <w:sz w:val="18"/>
                <w:szCs w:val="18"/>
                <w:lang w:val="en-US"/>
              </w:rPr>
              <w:t>Values set with reference to minimum observed value among all countries, which all will need to reach.</w:t>
            </w:r>
          </w:p>
          <w:p w14:paraId="690C3F37" w14:textId="77777777" w:rsidR="001A26BF" w:rsidRPr="005D63F5" w:rsidRDefault="001A26BF" w:rsidP="001A26BF">
            <w:pPr>
              <w:numPr>
                <w:ilvl w:val="0"/>
                <w:numId w:val="2"/>
              </w:numPr>
              <w:spacing w:after="0" w:line="240" w:lineRule="auto"/>
              <w:ind w:left="267" w:hanging="267"/>
              <w:contextualSpacing/>
              <w:rPr>
                <w:rFonts w:ascii="Arial" w:eastAsia="Times New Roman" w:hAnsi="Arial" w:cs="Arial"/>
                <w:sz w:val="18"/>
                <w:szCs w:val="18"/>
                <w:lang w:val="en-GB"/>
              </w:rPr>
            </w:pPr>
            <w:r w:rsidRPr="00211C18">
              <w:rPr>
                <w:rFonts w:ascii="Open Sans" w:eastAsia="Open Sans" w:hAnsi="Open Sans" w:cs="Open Sans"/>
                <w:color w:val="000000" w:themeColor="dark1"/>
                <w:kern w:val="24"/>
                <w:sz w:val="18"/>
                <w:szCs w:val="18"/>
                <w:lang w:val="en-US"/>
              </w:rPr>
              <w:t>Regression of standard deviation on the completion rate will lead to the residual identifying countries that are more unequal than predicted.</w:t>
            </w:r>
          </w:p>
        </w:tc>
        <w:tc>
          <w:tcPr>
            <w:tcW w:w="1088" w:type="pct"/>
            <w:tcBorders>
              <w:top w:val="single" w:sz="12" w:space="0" w:color="FFFFFF"/>
              <w:left w:val="single" w:sz="12" w:space="0" w:color="FFFFFF"/>
              <w:bottom w:val="single" w:sz="12" w:space="0" w:color="FFFFFF"/>
              <w:right w:val="single" w:sz="12" w:space="0" w:color="FFFFFF"/>
            </w:tcBorders>
            <w:shd w:val="clear" w:color="auto" w:fill="DAE3F3"/>
            <w:tcMar>
              <w:top w:w="72" w:type="dxa"/>
              <w:left w:w="144" w:type="dxa"/>
              <w:bottom w:w="72" w:type="dxa"/>
              <w:right w:w="144" w:type="dxa"/>
            </w:tcMar>
            <w:hideMark/>
          </w:tcPr>
          <w:p w14:paraId="15E2119A" w14:textId="77777777" w:rsidR="001A26BF" w:rsidRPr="000C6913"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5D63F5">
              <w:rPr>
                <w:rFonts w:eastAsia="Open Sans" w:cs="Open Sans"/>
                <w:color w:val="000000" w:themeColor="dark1"/>
                <w:kern w:val="24"/>
                <w:sz w:val="18"/>
                <w:szCs w:val="18"/>
              </w:rPr>
              <w:t>Characteristic-free measure (variation across enumeration areas)</w:t>
            </w:r>
            <w:r>
              <w:rPr>
                <w:rFonts w:eastAsia="Open Sans" w:cs="Open Sans"/>
                <w:color w:val="000000" w:themeColor="dark1"/>
                <w:kern w:val="24"/>
                <w:sz w:val="18"/>
                <w:szCs w:val="18"/>
              </w:rPr>
              <w:t>.</w:t>
            </w:r>
          </w:p>
        </w:tc>
        <w:tc>
          <w:tcPr>
            <w:tcW w:w="1306" w:type="pct"/>
            <w:tcBorders>
              <w:top w:val="single" w:sz="12" w:space="0" w:color="FFFFFF"/>
              <w:left w:val="single" w:sz="12" w:space="0" w:color="FFFFFF"/>
              <w:bottom w:val="single" w:sz="12" w:space="0" w:color="FFFFFF"/>
              <w:right w:val="single" w:sz="12" w:space="0" w:color="FFFFFF"/>
            </w:tcBorders>
            <w:shd w:val="clear" w:color="auto" w:fill="DAE3F3"/>
            <w:tcMar>
              <w:top w:w="72" w:type="dxa"/>
              <w:left w:w="144" w:type="dxa"/>
              <w:bottom w:w="72" w:type="dxa"/>
              <w:right w:w="144" w:type="dxa"/>
            </w:tcMar>
            <w:hideMark/>
          </w:tcPr>
          <w:p w14:paraId="1CC9F4A6" w14:textId="77777777" w:rsidR="001A26BF" w:rsidRPr="000C6913" w:rsidRDefault="001A26BF" w:rsidP="001A26BF">
            <w:pPr>
              <w:pStyle w:val="ListParagraph"/>
              <w:numPr>
                <w:ilvl w:val="0"/>
                <w:numId w:val="5"/>
              </w:numPr>
              <w:spacing w:after="0" w:line="240" w:lineRule="auto"/>
              <w:ind w:left="141" w:hanging="141"/>
              <w:jc w:val="left"/>
              <w:rPr>
                <w:rFonts w:eastAsia="Open Sans" w:cs="Open Sans"/>
                <w:color w:val="000000" w:themeColor="dark1"/>
                <w:kern w:val="24"/>
                <w:sz w:val="18"/>
                <w:szCs w:val="18"/>
              </w:rPr>
            </w:pPr>
            <w:r w:rsidRPr="005D63F5">
              <w:rPr>
                <w:rFonts w:eastAsia="Open Sans" w:cs="Open Sans"/>
                <w:color w:val="000000" w:themeColor="dark1"/>
                <w:kern w:val="24"/>
                <w:sz w:val="18"/>
                <w:szCs w:val="18"/>
              </w:rPr>
              <w:t>Survey cluster design may differ substantially between countries, affecting interpretation.</w:t>
            </w:r>
          </w:p>
        </w:tc>
      </w:tr>
    </w:tbl>
    <w:p w14:paraId="4D406F58" w14:textId="77777777" w:rsidR="001A26BF" w:rsidRDefault="001A26BF" w:rsidP="001A26BF">
      <w:pPr>
        <w:rPr>
          <w:lang w:val="en-GB"/>
        </w:rPr>
      </w:pPr>
    </w:p>
    <w:p w14:paraId="1F3CEA3B" w14:textId="77777777" w:rsidR="001F0525" w:rsidRDefault="001F0525">
      <w:pPr>
        <w:rPr>
          <w:rFonts w:ascii="Open Sans" w:eastAsiaTheme="majorEastAsia" w:hAnsi="Open Sans" w:cstheme="majorBidi"/>
          <w:b/>
          <w:color w:val="262626" w:themeColor="text1" w:themeTint="D9"/>
          <w:spacing w:val="20"/>
          <w:sz w:val="20"/>
          <w:szCs w:val="32"/>
          <w:lang w:val="en-US" w:eastAsia="zh-CN"/>
        </w:rPr>
      </w:pPr>
      <w:r>
        <w:br w:type="page"/>
      </w:r>
    </w:p>
    <w:p w14:paraId="67A7E148" w14:textId="0E138E0B" w:rsidR="001A26BF" w:rsidRDefault="001A26BF" w:rsidP="001A26BF">
      <w:pPr>
        <w:pStyle w:val="Heading1"/>
      </w:pPr>
      <w:r w:rsidRPr="007C108F">
        <w:lastRenderedPageBreak/>
        <w:t>2. Regional</w:t>
      </w:r>
      <w:r>
        <w:t xml:space="preserve"> and global aggregates</w:t>
      </w:r>
    </w:p>
    <w:p w14:paraId="2E7A6664" w14:textId="77777777" w:rsidR="001A26BF" w:rsidRPr="001D22CA" w:rsidRDefault="001A26BF" w:rsidP="001A26BF">
      <w:pPr>
        <w:rPr>
          <w:rFonts w:ascii="Open Sans" w:hAnsi="Open Sans" w:cs="Open Sans"/>
          <w:sz w:val="20"/>
          <w:szCs w:val="20"/>
          <w:lang w:val="en-GB"/>
        </w:rPr>
      </w:pPr>
      <w:r w:rsidRPr="001D22CA">
        <w:rPr>
          <w:rFonts w:ascii="Open Sans" w:hAnsi="Open Sans" w:cs="Open Sans"/>
          <w:sz w:val="20"/>
          <w:szCs w:val="20"/>
          <w:lang w:val="en-GB"/>
        </w:rPr>
        <w:t xml:space="preserve">In March 2021, UNDESA assembled a task team in order to harmonize and improve existing methodologies, share </w:t>
      </w:r>
      <w:proofErr w:type="gramStart"/>
      <w:r w:rsidRPr="001D22CA">
        <w:rPr>
          <w:rFonts w:ascii="Open Sans" w:hAnsi="Open Sans" w:cs="Open Sans"/>
          <w:sz w:val="20"/>
          <w:szCs w:val="20"/>
          <w:lang w:val="en-GB"/>
        </w:rPr>
        <w:t>experiences</w:t>
      </w:r>
      <w:proofErr w:type="gramEnd"/>
      <w:r w:rsidRPr="001D22CA">
        <w:rPr>
          <w:rFonts w:ascii="Open Sans" w:hAnsi="Open Sans" w:cs="Open Sans"/>
          <w:sz w:val="20"/>
          <w:szCs w:val="20"/>
          <w:lang w:val="en-GB"/>
        </w:rPr>
        <w:t xml:space="preserve"> and best practices in calculating aggregates, provide guidance to other international and regional organizations, and make the methodology used transparent. Currently, different methodologies are being used by different international agencies, for instance with respect to the use of population or income estimates, weights, country grouping classifications, and the handling of missing data. As part of the work in progress, the task team has agreed to start mapping custodian agencies’ current practices and to do a stock-tacking on how the different issues are addressed. </w:t>
      </w:r>
    </w:p>
    <w:p w14:paraId="28B6DF00" w14:textId="77777777" w:rsidR="001A26BF" w:rsidRPr="001D22CA" w:rsidRDefault="001A26BF" w:rsidP="001A26BF">
      <w:pPr>
        <w:rPr>
          <w:rFonts w:ascii="Open Sans" w:hAnsi="Open Sans" w:cs="Open Sans"/>
          <w:sz w:val="20"/>
          <w:szCs w:val="20"/>
          <w:lang w:val="en-US"/>
        </w:rPr>
      </w:pPr>
      <w:r w:rsidRPr="001D22CA">
        <w:rPr>
          <w:rFonts w:ascii="Open Sans" w:hAnsi="Open Sans" w:cs="Open Sans"/>
          <w:sz w:val="20"/>
          <w:szCs w:val="20"/>
          <w:lang w:val="en-GB"/>
        </w:rPr>
        <w:t xml:space="preserve">The seventh TCG meeting in October 2020 touched upon the issue of regional/global aggregates but only addressed two partial issues related to aggregates based on survey data and it therefore did not look comprehensively at the full set of issues related to regional/global aggregates for all indicators and the decisions that are needed to report on them – those were discussed during the TCG Meeting of 21 June 2021 and are presented in </w:t>
      </w:r>
      <w:hyperlink r:id="rId9" w:history="1">
        <w:r w:rsidRPr="001D22CA">
          <w:rPr>
            <w:rStyle w:val="Hyperlink"/>
            <w:rFonts w:ascii="Open Sans" w:hAnsi="Open Sans" w:cs="Open Sans"/>
            <w:sz w:val="20"/>
            <w:szCs w:val="20"/>
            <w:lang w:val="en-US"/>
          </w:rPr>
          <w:t>SDG 4 Indicators Regional/Global Aggregation Methodology: A Brief for the Technical Cooperation Group</w:t>
        </w:r>
      </w:hyperlink>
      <w:r w:rsidRPr="001D22CA">
        <w:rPr>
          <w:rFonts w:ascii="Open Sans" w:hAnsi="Open Sans" w:cs="Open Sans"/>
          <w:sz w:val="20"/>
          <w:szCs w:val="20"/>
          <w:lang w:val="en-US"/>
        </w:rPr>
        <w:t>, and subject to the current consultation.</w:t>
      </w:r>
    </w:p>
    <w:p w14:paraId="2DFBE72E" w14:textId="77777777" w:rsidR="001A26BF" w:rsidRDefault="001A26BF" w:rsidP="001A26BF">
      <w:pPr>
        <w:pStyle w:val="Heading2"/>
        <w:rPr>
          <w:lang w:val="en-GB"/>
        </w:rPr>
      </w:pPr>
      <w:r>
        <w:rPr>
          <w:lang w:val="en-GB"/>
        </w:rPr>
        <w:t>2.1. Indicator 4.1.1 - Learning assessment data-based indicators</w:t>
      </w:r>
    </w:p>
    <w:p w14:paraId="33E0AA73" w14:textId="77777777" w:rsidR="001A26BF" w:rsidRDefault="001A26BF" w:rsidP="001A26BF">
      <w:pPr>
        <w:pStyle w:val="Heading3"/>
        <w:rPr>
          <w:lang w:val="en-GB"/>
        </w:rPr>
      </w:pPr>
      <w:r>
        <w:rPr>
          <w:lang w:val="en-GB"/>
        </w:rPr>
        <w:t xml:space="preserve">2.1.1 What type </w:t>
      </w:r>
      <w:r w:rsidRPr="0017213E">
        <w:t>of</w:t>
      </w:r>
      <w:r>
        <w:rPr>
          <w:lang w:val="en-GB"/>
        </w:rPr>
        <w:t xml:space="preserve"> population weight should be used?</w:t>
      </w:r>
    </w:p>
    <w:p w14:paraId="4CF7D658" w14:textId="77777777" w:rsidR="001A26BF" w:rsidRDefault="001A26BF" w:rsidP="001A26BF">
      <w:pPr>
        <w:pStyle w:val="ListParagraph"/>
        <w:numPr>
          <w:ilvl w:val="0"/>
          <w:numId w:val="10"/>
        </w:numPr>
        <w:rPr>
          <w:lang w:val="en-GB"/>
        </w:rPr>
      </w:pPr>
      <w:r>
        <w:rPr>
          <w:lang w:val="en-GB"/>
        </w:rPr>
        <w:t>Option 1: School-age population</w:t>
      </w:r>
    </w:p>
    <w:p w14:paraId="5AE6BC44" w14:textId="77777777" w:rsidR="001A26BF" w:rsidRPr="00A721CD" w:rsidRDefault="001A26BF" w:rsidP="001A26BF">
      <w:pPr>
        <w:pStyle w:val="ListParagraph"/>
        <w:numPr>
          <w:ilvl w:val="0"/>
          <w:numId w:val="10"/>
        </w:numPr>
        <w:rPr>
          <w:lang w:val="en-GB"/>
        </w:rPr>
      </w:pPr>
      <w:r>
        <w:rPr>
          <w:lang w:val="en-GB"/>
        </w:rPr>
        <w:t>Option 2: Enrolment</w:t>
      </w:r>
    </w:p>
    <w:p w14:paraId="60D175C9" w14:textId="77777777" w:rsidR="001A26BF" w:rsidRDefault="001A26BF" w:rsidP="001A26BF">
      <w:pPr>
        <w:pStyle w:val="Heading3"/>
        <w:rPr>
          <w:lang w:val="en-GB"/>
        </w:rPr>
      </w:pPr>
      <w:r>
        <w:t xml:space="preserve">2.1.2 </w:t>
      </w:r>
      <w:r>
        <w:rPr>
          <w:lang w:val="en-GB"/>
        </w:rPr>
        <w:t>Which approach should be done when data is missing?</w:t>
      </w:r>
    </w:p>
    <w:p w14:paraId="5EA08E3D" w14:textId="77777777" w:rsidR="001A26BF" w:rsidRDefault="001A26BF" w:rsidP="001A26BF">
      <w:pPr>
        <w:pStyle w:val="ListParagraph"/>
        <w:numPr>
          <w:ilvl w:val="0"/>
          <w:numId w:val="11"/>
        </w:numPr>
        <w:rPr>
          <w:lang w:val="en-GB"/>
        </w:rPr>
      </w:pPr>
      <w:r>
        <w:rPr>
          <w:lang w:val="en-GB"/>
        </w:rPr>
        <w:t>Option 1: Assume a country has a regional value.</w:t>
      </w:r>
    </w:p>
    <w:p w14:paraId="507D9B6B" w14:textId="77777777" w:rsidR="001A26BF" w:rsidRPr="001D22CA" w:rsidRDefault="001A26BF" w:rsidP="001A26BF">
      <w:pPr>
        <w:pStyle w:val="ListParagraph"/>
        <w:numPr>
          <w:ilvl w:val="0"/>
          <w:numId w:val="11"/>
        </w:numPr>
        <w:rPr>
          <w:lang w:val="en-GB"/>
        </w:rPr>
      </w:pPr>
      <w:r>
        <w:rPr>
          <w:lang w:val="en-GB"/>
        </w:rPr>
        <w:t>Option 2: Impute missing values based on other information</w:t>
      </w:r>
      <w:r w:rsidRPr="00B734F5">
        <w:rPr>
          <w:lang w:val="en-CA"/>
        </w:rPr>
        <w:t>.</w:t>
      </w:r>
      <w:r>
        <w:rPr>
          <w:lang w:val="en-CA"/>
        </w:rPr>
        <w:t xml:space="preserve"> The statistical model and the variables used for imputation will be clearly documented </w:t>
      </w:r>
      <w:r w:rsidRPr="001D22CA">
        <w:rPr>
          <w:lang w:val="en-CA"/>
        </w:rPr>
        <w:t xml:space="preserve">and reported to TCG. </w:t>
      </w:r>
    </w:p>
    <w:p w14:paraId="7DC028DD" w14:textId="77777777" w:rsidR="001A26BF" w:rsidRDefault="001A26BF" w:rsidP="001A26BF">
      <w:pPr>
        <w:pStyle w:val="Heading3"/>
        <w:rPr>
          <w:lang w:val="en-GB"/>
        </w:rPr>
      </w:pPr>
      <w:r>
        <w:rPr>
          <w:lang w:val="en-GB"/>
        </w:rPr>
        <w:t>2.1.3 What is the minimum representation to report the regional/global aggregate?</w:t>
      </w:r>
    </w:p>
    <w:p w14:paraId="4FECB40D" w14:textId="77777777" w:rsidR="001A26BF" w:rsidRDefault="001A26BF" w:rsidP="001A26BF">
      <w:pPr>
        <w:pStyle w:val="ListParagraph"/>
        <w:numPr>
          <w:ilvl w:val="0"/>
          <w:numId w:val="14"/>
        </w:numPr>
        <w:rPr>
          <w:lang w:val="en-GB"/>
        </w:rPr>
      </w:pPr>
      <w:r>
        <w:rPr>
          <w:lang w:val="en-GB"/>
        </w:rPr>
        <w:t>Option 1: 50% of countries</w:t>
      </w:r>
    </w:p>
    <w:p w14:paraId="46C423AD" w14:textId="77777777" w:rsidR="001A26BF" w:rsidRPr="00732A45" w:rsidRDefault="001A26BF" w:rsidP="001A26BF">
      <w:pPr>
        <w:pStyle w:val="ListParagraph"/>
        <w:numPr>
          <w:ilvl w:val="0"/>
          <w:numId w:val="14"/>
        </w:numPr>
        <w:rPr>
          <w:lang w:val="en-GB"/>
        </w:rPr>
      </w:pPr>
      <w:r>
        <w:rPr>
          <w:lang w:val="en-GB"/>
        </w:rPr>
        <w:t>Option 2: 50% of population</w:t>
      </w:r>
    </w:p>
    <w:p w14:paraId="6D996C3A" w14:textId="77777777" w:rsidR="001A26BF" w:rsidRDefault="001A26BF" w:rsidP="00A8538C">
      <w:pPr>
        <w:pStyle w:val="Heading3"/>
        <w:rPr>
          <w:lang w:val="en-GB"/>
        </w:rPr>
      </w:pPr>
      <w:r>
        <w:rPr>
          <w:lang w:val="en-GB"/>
        </w:rPr>
        <w:t>2.1.4 What is the reference period used to report the regional/global aggregate?</w:t>
      </w:r>
    </w:p>
    <w:p w14:paraId="31D9D8BE" w14:textId="77777777" w:rsidR="001A26BF" w:rsidRDefault="001A26BF" w:rsidP="00A8538C">
      <w:pPr>
        <w:pStyle w:val="ListParagraph"/>
        <w:keepNext/>
        <w:keepLines/>
        <w:numPr>
          <w:ilvl w:val="0"/>
          <w:numId w:val="14"/>
        </w:numPr>
        <w:rPr>
          <w:lang w:val="en-GB"/>
        </w:rPr>
      </w:pPr>
      <w:r>
        <w:rPr>
          <w:lang w:val="en-GB"/>
        </w:rPr>
        <w:t xml:space="preserve">Option 1: Past 5 years </w:t>
      </w:r>
    </w:p>
    <w:p w14:paraId="0D5CCB9D" w14:textId="77777777" w:rsidR="001A26BF" w:rsidRDefault="001A26BF" w:rsidP="00A8538C">
      <w:pPr>
        <w:pStyle w:val="ListParagraph"/>
        <w:keepNext/>
        <w:keepLines/>
        <w:numPr>
          <w:ilvl w:val="0"/>
          <w:numId w:val="14"/>
        </w:numPr>
        <w:rPr>
          <w:lang w:val="en-GB"/>
        </w:rPr>
      </w:pPr>
      <w:r>
        <w:rPr>
          <w:lang w:val="en-GB"/>
        </w:rPr>
        <w:t>Option 2: Past 7 years</w:t>
      </w:r>
    </w:p>
    <w:p w14:paraId="3BFC10AA" w14:textId="77777777" w:rsidR="001A26BF" w:rsidRPr="00751C07" w:rsidRDefault="001A26BF" w:rsidP="00A8538C">
      <w:pPr>
        <w:pStyle w:val="ListParagraph"/>
        <w:keepNext/>
        <w:keepLines/>
        <w:numPr>
          <w:ilvl w:val="0"/>
          <w:numId w:val="14"/>
        </w:numPr>
        <w:rPr>
          <w:lang w:val="en-GB"/>
        </w:rPr>
      </w:pPr>
      <w:r>
        <w:rPr>
          <w:lang w:val="en-GB"/>
        </w:rPr>
        <w:t>Option 3: Past 10 years</w:t>
      </w:r>
    </w:p>
    <w:p w14:paraId="5018204D" w14:textId="77777777" w:rsidR="001A26BF" w:rsidRPr="001D22CA" w:rsidRDefault="001A26BF" w:rsidP="001A26BF">
      <w:pPr>
        <w:pStyle w:val="Heading2"/>
        <w:rPr>
          <w:rFonts w:cs="Open Sans"/>
          <w:szCs w:val="20"/>
          <w:lang w:val="en-GB"/>
        </w:rPr>
      </w:pPr>
      <w:r w:rsidRPr="001D22CA">
        <w:rPr>
          <w:rFonts w:cs="Open Sans"/>
          <w:szCs w:val="20"/>
          <w:lang w:val="en-GB"/>
        </w:rPr>
        <w:t>2.2 Indicator 4.1.2 – Survey based indicators</w:t>
      </w:r>
    </w:p>
    <w:p w14:paraId="489BFBF2" w14:textId="77777777" w:rsidR="001A26BF" w:rsidRPr="001D22CA" w:rsidRDefault="001A26BF" w:rsidP="001A26BF">
      <w:pPr>
        <w:pStyle w:val="Heading3"/>
        <w:rPr>
          <w:rFonts w:cs="Open Sans"/>
          <w:szCs w:val="20"/>
          <w:lang w:val="en-GB"/>
        </w:rPr>
      </w:pPr>
      <w:r w:rsidRPr="001D22CA">
        <w:rPr>
          <w:rFonts w:cs="Open Sans"/>
          <w:szCs w:val="20"/>
          <w:lang w:val="en-GB"/>
        </w:rPr>
        <w:t xml:space="preserve">2.2.1 What type of population weight should be used? </w:t>
      </w:r>
    </w:p>
    <w:p w14:paraId="231D41D1" w14:textId="77777777" w:rsidR="001A26BF" w:rsidRPr="001D22CA" w:rsidRDefault="001A26BF" w:rsidP="001A26BF">
      <w:pPr>
        <w:pStyle w:val="ListParagraph"/>
        <w:numPr>
          <w:ilvl w:val="0"/>
          <w:numId w:val="12"/>
        </w:numPr>
        <w:rPr>
          <w:rFonts w:cs="Open Sans"/>
          <w:szCs w:val="20"/>
          <w:lang w:val="en-GB"/>
        </w:rPr>
      </w:pPr>
      <w:r w:rsidRPr="001D22CA">
        <w:rPr>
          <w:rFonts w:cs="Open Sans"/>
          <w:szCs w:val="20"/>
          <w:lang w:val="en-GB"/>
        </w:rPr>
        <w:t>Option 1: Cohort size (10-14 year old for primary, 15-19 year old for lower secondary, 20-24 year old for upper secondary)</w:t>
      </w:r>
    </w:p>
    <w:p w14:paraId="3472ACAB" w14:textId="77777777" w:rsidR="001A26BF" w:rsidRPr="001D22CA" w:rsidRDefault="001A26BF" w:rsidP="001A26BF">
      <w:pPr>
        <w:pStyle w:val="ListParagraph"/>
        <w:numPr>
          <w:ilvl w:val="0"/>
          <w:numId w:val="12"/>
        </w:numPr>
        <w:rPr>
          <w:rFonts w:cs="Open Sans"/>
          <w:szCs w:val="20"/>
          <w:lang w:val="en-GB"/>
        </w:rPr>
      </w:pPr>
      <w:r w:rsidRPr="001D22CA">
        <w:rPr>
          <w:rFonts w:cs="Open Sans"/>
          <w:szCs w:val="20"/>
          <w:lang w:val="en-GB"/>
        </w:rPr>
        <w:t>Option 2 School-age population for a given age group, i.e., UIS data specifically, which is consistent with the out-of-school rate indicator.</w:t>
      </w:r>
    </w:p>
    <w:p w14:paraId="2E56E960" w14:textId="77777777" w:rsidR="001A26BF" w:rsidRPr="001D22CA" w:rsidRDefault="001A26BF" w:rsidP="00787223">
      <w:pPr>
        <w:pStyle w:val="Heading3"/>
        <w:rPr>
          <w:rFonts w:cs="Open Sans"/>
          <w:szCs w:val="20"/>
          <w:lang w:val="en-GB"/>
        </w:rPr>
      </w:pPr>
      <w:r w:rsidRPr="001D22CA">
        <w:rPr>
          <w:rFonts w:cs="Open Sans"/>
          <w:szCs w:val="20"/>
          <w:lang w:val="en-GB"/>
        </w:rPr>
        <w:lastRenderedPageBreak/>
        <w:t>2.2.2 Which approach should be done when data is missing?</w:t>
      </w:r>
    </w:p>
    <w:p w14:paraId="5743C5C4" w14:textId="77777777" w:rsidR="001A26BF" w:rsidRPr="001D22CA" w:rsidRDefault="001A26BF" w:rsidP="00787223">
      <w:pPr>
        <w:pStyle w:val="ListParagraph"/>
        <w:keepNext/>
        <w:keepLines/>
        <w:numPr>
          <w:ilvl w:val="0"/>
          <w:numId w:val="11"/>
        </w:numPr>
        <w:rPr>
          <w:rFonts w:cs="Open Sans"/>
          <w:szCs w:val="20"/>
          <w:lang w:val="en-GB"/>
        </w:rPr>
      </w:pPr>
      <w:r w:rsidRPr="001D22CA">
        <w:rPr>
          <w:rFonts w:cs="Open Sans"/>
          <w:szCs w:val="20"/>
          <w:lang w:val="en-GB"/>
        </w:rPr>
        <w:t>Option 1: Assume a country has the regional value</w:t>
      </w:r>
      <w:r w:rsidRPr="001D22CA">
        <w:rPr>
          <w:rFonts w:cs="Open Sans"/>
          <w:szCs w:val="20"/>
          <w:lang w:val="en-CA"/>
        </w:rPr>
        <w:t xml:space="preserve"> from countries for which information is available.</w:t>
      </w:r>
    </w:p>
    <w:p w14:paraId="5E06CB64" w14:textId="77777777" w:rsidR="001A26BF" w:rsidRPr="001D22CA" w:rsidRDefault="001A26BF" w:rsidP="00787223">
      <w:pPr>
        <w:pStyle w:val="ListParagraph"/>
        <w:keepNext/>
        <w:keepLines/>
        <w:numPr>
          <w:ilvl w:val="0"/>
          <w:numId w:val="11"/>
        </w:numPr>
        <w:rPr>
          <w:rFonts w:cs="Open Sans"/>
          <w:szCs w:val="20"/>
          <w:lang w:val="en-GB"/>
        </w:rPr>
      </w:pPr>
      <w:r w:rsidRPr="001D22CA">
        <w:rPr>
          <w:rFonts w:cs="Open Sans"/>
          <w:szCs w:val="20"/>
          <w:lang w:val="en-GB"/>
        </w:rPr>
        <w:t xml:space="preserve">Option 2: </w:t>
      </w:r>
      <w:r w:rsidRPr="001D22CA">
        <w:rPr>
          <w:rFonts w:cs="Open Sans"/>
          <w:szCs w:val="20"/>
          <w:lang w:val="en-CA"/>
        </w:rPr>
        <w:t>Impute missing values based on other information. The statistical model and the variables used for imputation will be clearly documented.</w:t>
      </w:r>
    </w:p>
    <w:p w14:paraId="45B59757" w14:textId="77777777" w:rsidR="001A26BF" w:rsidRPr="001D22CA" w:rsidRDefault="001A26BF" w:rsidP="001A26BF">
      <w:pPr>
        <w:pStyle w:val="Heading3"/>
        <w:rPr>
          <w:rFonts w:cs="Open Sans"/>
          <w:szCs w:val="20"/>
          <w:lang w:val="en-GB"/>
        </w:rPr>
      </w:pPr>
      <w:r w:rsidRPr="001D22CA">
        <w:rPr>
          <w:rFonts w:cs="Open Sans"/>
          <w:szCs w:val="20"/>
          <w:lang w:val="en-GB"/>
        </w:rPr>
        <w:t>2.2.3 What is the minimum representation to report the regional/global aggregate?</w:t>
      </w:r>
    </w:p>
    <w:p w14:paraId="627BC08A" w14:textId="77777777" w:rsidR="001A26BF" w:rsidRPr="001D22CA" w:rsidRDefault="001A26BF" w:rsidP="001A26BF">
      <w:pPr>
        <w:pStyle w:val="ListParagraph"/>
        <w:numPr>
          <w:ilvl w:val="0"/>
          <w:numId w:val="14"/>
        </w:numPr>
        <w:rPr>
          <w:rFonts w:cs="Open Sans"/>
          <w:szCs w:val="20"/>
          <w:lang w:val="en-GB"/>
        </w:rPr>
      </w:pPr>
      <w:r w:rsidRPr="001D22CA">
        <w:rPr>
          <w:rFonts w:cs="Open Sans"/>
          <w:szCs w:val="20"/>
          <w:lang w:val="en-GB"/>
        </w:rPr>
        <w:t>Option 1: 50% of countries</w:t>
      </w:r>
    </w:p>
    <w:p w14:paraId="40966977" w14:textId="77777777" w:rsidR="001A26BF" w:rsidRPr="001D22CA" w:rsidRDefault="001A26BF" w:rsidP="001A26BF">
      <w:pPr>
        <w:pStyle w:val="ListParagraph"/>
        <w:numPr>
          <w:ilvl w:val="0"/>
          <w:numId w:val="14"/>
        </w:numPr>
        <w:rPr>
          <w:rFonts w:cs="Open Sans"/>
          <w:szCs w:val="20"/>
          <w:lang w:val="en-GB"/>
        </w:rPr>
      </w:pPr>
      <w:r w:rsidRPr="001D22CA">
        <w:rPr>
          <w:rFonts w:cs="Open Sans"/>
          <w:szCs w:val="20"/>
          <w:lang w:val="en-GB"/>
        </w:rPr>
        <w:t>Option 2: 50% of population</w:t>
      </w:r>
    </w:p>
    <w:p w14:paraId="6558D351" w14:textId="77777777" w:rsidR="001A26BF" w:rsidRPr="001D22CA" w:rsidRDefault="001A26BF" w:rsidP="001A26BF">
      <w:pPr>
        <w:pStyle w:val="Heading3"/>
        <w:rPr>
          <w:rFonts w:cs="Open Sans"/>
          <w:szCs w:val="20"/>
          <w:lang w:val="en-GB"/>
        </w:rPr>
      </w:pPr>
      <w:r w:rsidRPr="001D22CA">
        <w:rPr>
          <w:rFonts w:cs="Open Sans"/>
          <w:szCs w:val="20"/>
          <w:lang w:val="en-GB"/>
        </w:rPr>
        <w:t>2.2.4 What is the reference period used to report the regional/global aggregate?</w:t>
      </w:r>
    </w:p>
    <w:p w14:paraId="1BAFC982" w14:textId="77777777" w:rsidR="001A26BF" w:rsidRPr="001D22CA" w:rsidRDefault="001A26BF" w:rsidP="001A26BF">
      <w:pPr>
        <w:pStyle w:val="ListParagraph"/>
        <w:numPr>
          <w:ilvl w:val="0"/>
          <w:numId w:val="14"/>
        </w:numPr>
        <w:rPr>
          <w:rFonts w:cs="Open Sans"/>
          <w:szCs w:val="20"/>
          <w:lang w:val="en-GB"/>
        </w:rPr>
      </w:pPr>
      <w:r w:rsidRPr="001D22CA">
        <w:rPr>
          <w:rFonts w:cs="Open Sans"/>
          <w:szCs w:val="20"/>
          <w:lang w:val="en-GB"/>
        </w:rPr>
        <w:t>Option 1: Past 5 years</w:t>
      </w:r>
    </w:p>
    <w:p w14:paraId="41D2361A" w14:textId="77777777" w:rsidR="001A26BF" w:rsidRPr="001D22CA" w:rsidRDefault="001A26BF" w:rsidP="001A26BF">
      <w:pPr>
        <w:pStyle w:val="ListParagraph"/>
        <w:numPr>
          <w:ilvl w:val="0"/>
          <w:numId w:val="14"/>
        </w:numPr>
        <w:rPr>
          <w:rFonts w:cs="Open Sans"/>
          <w:szCs w:val="20"/>
          <w:lang w:val="en-GB"/>
        </w:rPr>
      </w:pPr>
      <w:r w:rsidRPr="001D22CA">
        <w:rPr>
          <w:rFonts w:cs="Open Sans"/>
          <w:szCs w:val="20"/>
          <w:lang w:val="en-GB"/>
        </w:rPr>
        <w:t>Option 2: Past 5 years with nowcasting</w:t>
      </w:r>
    </w:p>
    <w:p w14:paraId="38724DED" w14:textId="77777777" w:rsidR="001A26BF" w:rsidRPr="001D22CA" w:rsidRDefault="001A26BF" w:rsidP="001A26BF">
      <w:pPr>
        <w:pStyle w:val="Heading2"/>
        <w:rPr>
          <w:rFonts w:cs="Open Sans"/>
          <w:szCs w:val="20"/>
          <w:lang w:val="en-GB"/>
        </w:rPr>
      </w:pPr>
      <w:r w:rsidRPr="001D22CA">
        <w:rPr>
          <w:rFonts w:cs="Open Sans"/>
          <w:szCs w:val="20"/>
          <w:lang w:val="en-GB"/>
        </w:rPr>
        <w:t>2.3 Parity indices</w:t>
      </w:r>
    </w:p>
    <w:p w14:paraId="142445B5" w14:textId="77777777" w:rsidR="001A26BF" w:rsidRPr="001D22CA" w:rsidRDefault="001A26BF" w:rsidP="001A26BF">
      <w:pPr>
        <w:pStyle w:val="Heading3"/>
        <w:rPr>
          <w:rFonts w:cs="Open Sans"/>
          <w:szCs w:val="20"/>
          <w:lang w:val="en-GB"/>
        </w:rPr>
      </w:pPr>
      <w:r w:rsidRPr="001D22CA">
        <w:rPr>
          <w:rFonts w:cs="Open Sans"/>
          <w:szCs w:val="20"/>
          <w:lang w:val="en-GB"/>
        </w:rPr>
        <w:t xml:space="preserve">2.3.1 What type of population weight should be used? </w:t>
      </w:r>
    </w:p>
    <w:p w14:paraId="4E92E49B" w14:textId="77777777" w:rsidR="001A26BF" w:rsidRPr="001D22CA" w:rsidRDefault="001A26BF" w:rsidP="001A26BF">
      <w:pPr>
        <w:pStyle w:val="ListParagraph"/>
        <w:numPr>
          <w:ilvl w:val="0"/>
          <w:numId w:val="13"/>
        </w:numPr>
        <w:rPr>
          <w:rFonts w:cs="Open Sans"/>
          <w:szCs w:val="20"/>
          <w:lang w:val="en-CA"/>
        </w:rPr>
      </w:pPr>
      <w:r w:rsidRPr="001D22CA">
        <w:rPr>
          <w:rFonts w:cs="Open Sans"/>
          <w:szCs w:val="20"/>
          <w:lang w:val="en-GB"/>
        </w:rPr>
        <w:t xml:space="preserve">Option 1: </w:t>
      </w:r>
      <w:r w:rsidRPr="001D22CA">
        <w:rPr>
          <w:rFonts w:cs="Open Sans"/>
          <w:szCs w:val="20"/>
          <w:lang w:val="en-CA"/>
        </w:rPr>
        <w:t xml:space="preserve">Median of </w:t>
      </w:r>
      <w:r w:rsidRPr="001D22CA">
        <w:rPr>
          <w:rFonts w:cs="Open Sans"/>
          <w:b/>
          <w:bCs/>
          <w:szCs w:val="20"/>
          <w:lang w:val="en-CA"/>
        </w:rPr>
        <w:t>countries</w:t>
      </w:r>
      <w:r w:rsidRPr="001D22CA">
        <w:rPr>
          <w:rFonts w:cs="Open Sans"/>
          <w:szCs w:val="20"/>
          <w:lang w:val="en-CA"/>
        </w:rPr>
        <w:t>, i.e., average over individual countries’ parity index</w:t>
      </w:r>
    </w:p>
    <w:p w14:paraId="7458DC75" w14:textId="77777777" w:rsidR="001A26BF" w:rsidRPr="001D22CA" w:rsidRDefault="001A26BF" w:rsidP="001A26BF">
      <w:pPr>
        <w:pStyle w:val="ListParagraph"/>
        <w:numPr>
          <w:ilvl w:val="0"/>
          <w:numId w:val="13"/>
        </w:numPr>
        <w:rPr>
          <w:rFonts w:cs="Open Sans"/>
          <w:szCs w:val="20"/>
          <w:lang w:val="en-CA"/>
        </w:rPr>
      </w:pPr>
      <w:r w:rsidRPr="001D22CA">
        <w:rPr>
          <w:rFonts w:cs="Open Sans"/>
          <w:szCs w:val="20"/>
          <w:lang w:val="en-GB"/>
        </w:rPr>
        <w:t xml:space="preserve">Option 2: </w:t>
      </w:r>
      <w:r w:rsidRPr="001D22CA">
        <w:rPr>
          <w:rFonts w:cs="Open Sans"/>
          <w:szCs w:val="20"/>
          <w:lang w:val="en-CA"/>
        </w:rPr>
        <w:t xml:space="preserve">Mean of </w:t>
      </w:r>
      <w:r w:rsidRPr="001D22CA">
        <w:rPr>
          <w:rFonts w:cs="Open Sans"/>
          <w:b/>
          <w:bCs/>
          <w:szCs w:val="20"/>
          <w:lang w:val="en-CA"/>
        </w:rPr>
        <w:t>populations</w:t>
      </w:r>
      <w:r w:rsidRPr="001D22CA">
        <w:rPr>
          <w:rFonts w:cs="Open Sans"/>
          <w:szCs w:val="20"/>
          <w:lang w:val="en-CA"/>
        </w:rPr>
        <w:t>, i.e., aggregate populations and divide the 2 groups.</w:t>
      </w:r>
    </w:p>
    <w:p w14:paraId="100E5FA8" w14:textId="77777777" w:rsidR="001A26BF" w:rsidRPr="001D22CA" w:rsidRDefault="001A26BF" w:rsidP="001A26BF">
      <w:pPr>
        <w:pStyle w:val="Heading3"/>
        <w:rPr>
          <w:rFonts w:cs="Open Sans"/>
          <w:szCs w:val="20"/>
          <w:lang w:val="en-GB"/>
        </w:rPr>
      </w:pPr>
      <w:bookmarkStart w:id="2" w:name="_Hlk76208685"/>
      <w:r w:rsidRPr="001D22CA">
        <w:rPr>
          <w:rFonts w:cs="Open Sans"/>
          <w:szCs w:val="20"/>
          <w:lang w:val="en-GB"/>
        </w:rPr>
        <w:t>2.3.2 What is the minimum representation to report the regional/global aggregate?</w:t>
      </w:r>
    </w:p>
    <w:p w14:paraId="127859EB" w14:textId="77777777" w:rsidR="001A26BF" w:rsidRPr="001D22CA" w:rsidRDefault="001A26BF" w:rsidP="001A26BF">
      <w:pPr>
        <w:pStyle w:val="ListParagraph"/>
        <w:numPr>
          <w:ilvl w:val="0"/>
          <w:numId w:val="14"/>
        </w:numPr>
        <w:rPr>
          <w:rFonts w:cs="Open Sans"/>
          <w:szCs w:val="20"/>
          <w:lang w:val="en-GB"/>
        </w:rPr>
      </w:pPr>
      <w:r w:rsidRPr="001D22CA">
        <w:rPr>
          <w:rFonts w:cs="Open Sans"/>
          <w:szCs w:val="20"/>
          <w:lang w:val="en-GB"/>
        </w:rPr>
        <w:t>Option 1: 50% of countries</w:t>
      </w:r>
    </w:p>
    <w:p w14:paraId="2E1E5474" w14:textId="77777777" w:rsidR="001A26BF" w:rsidRPr="001D22CA" w:rsidRDefault="001A26BF" w:rsidP="001A26BF">
      <w:pPr>
        <w:pStyle w:val="ListParagraph"/>
        <w:numPr>
          <w:ilvl w:val="0"/>
          <w:numId w:val="14"/>
        </w:numPr>
        <w:rPr>
          <w:rFonts w:cs="Open Sans"/>
          <w:szCs w:val="20"/>
          <w:lang w:val="en-GB"/>
        </w:rPr>
      </w:pPr>
      <w:r w:rsidRPr="001D22CA">
        <w:rPr>
          <w:rFonts w:cs="Open Sans"/>
          <w:szCs w:val="20"/>
          <w:lang w:val="en-GB"/>
        </w:rPr>
        <w:t>Option 2: 50% of population</w:t>
      </w:r>
    </w:p>
    <w:bookmarkEnd w:id="2"/>
    <w:p w14:paraId="5C9AB5F0" w14:textId="77777777" w:rsidR="001A26BF" w:rsidRPr="001D22CA" w:rsidRDefault="001A26BF" w:rsidP="001A26BF">
      <w:pPr>
        <w:pStyle w:val="Heading3"/>
        <w:rPr>
          <w:rFonts w:cs="Open Sans"/>
          <w:szCs w:val="20"/>
          <w:lang w:val="en-GB"/>
        </w:rPr>
      </w:pPr>
      <w:r w:rsidRPr="001D22CA">
        <w:rPr>
          <w:rFonts w:cs="Open Sans"/>
          <w:szCs w:val="20"/>
          <w:lang w:val="en-GB"/>
        </w:rPr>
        <w:t>2.3.3 What is the minimum representation to report the regional/global aggregate?</w:t>
      </w:r>
    </w:p>
    <w:p w14:paraId="3642A330" w14:textId="77777777" w:rsidR="001A26BF" w:rsidRPr="001D22CA" w:rsidRDefault="001A26BF" w:rsidP="001A26BF">
      <w:pPr>
        <w:pStyle w:val="ListParagraph"/>
        <w:numPr>
          <w:ilvl w:val="0"/>
          <w:numId w:val="14"/>
        </w:numPr>
        <w:rPr>
          <w:rFonts w:cs="Open Sans"/>
          <w:szCs w:val="20"/>
          <w:lang w:val="en-GB"/>
        </w:rPr>
      </w:pPr>
      <w:r w:rsidRPr="001D22CA">
        <w:rPr>
          <w:rFonts w:cs="Open Sans"/>
          <w:szCs w:val="20"/>
          <w:lang w:val="en-GB"/>
        </w:rPr>
        <w:t>Option 1: 50% of countries</w:t>
      </w:r>
    </w:p>
    <w:p w14:paraId="357B2A9A" w14:textId="77777777" w:rsidR="001A26BF" w:rsidRPr="001D22CA" w:rsidRDefault="001A26BF" w:rsidP="001A26BF">
      <w:pPr>
        <w:pStyle w:val="ListParagraph"/>
        <w:numPr>
          <w:ilvl w:val="0"/>
          <w:numId w:val="14"/>
        </w:numPr>
        <w:rPr>
          <w:rFonts w:cs="Open Sans"/>
          <w:szCs w:val="20"/>
          <w:lang w:val="en-GB"/>
        </w:rPr>
      </w:pPr>
      <w:r w:rsidRPr="001D22CA">
        <w:rPr>
          <w:rFonts w:cs="Open Sans"/>
          <w:szCs w:val="20"/>
          <w:lang w:val="en-GB"/>
        </w:rPr>
        <w:t>Option 2: 50% of population</w:t>
      </w:r>
    </w:p>
    <w:p w14:paraId="511E1855" w14:textId="77777777" w:rsidR="001A26BF" w:rsidRPr="001D22CA" w:rsidRDefault="001A26BF" w:rsidP="001A26BF">
      <w:pPr>
        <w:pStyle w:val="Heading2"/>
        <w:rPr>
          <w:rFonts w:cs="Open Sans"/>
          <w:szCs w:val="20"/>
          <w:lang w:val="en-GB"/>
        </w:rPr>
      </w:pPr>
      <w:r w:rsidRPr="001D22CA">
        <w:rPr>
          <w:rFonts w:cs="Open Sans"/>
          <w:szCs w:val="20"/>
          <w:lang w:val="en-GB"/>
        </w:rPr>
        <w:t xml:space="preserve">2.4 </w:t>
      </w:r>
      <w:proofErr w:type="gramStart"/>
      <w:r w:rsidRPr="001D22CA">
        <w:rPr>
          <w:rFonts w:cs="Open Sans"/>
          <w:szCs w:val="20"/>
          <w:lang w:val="en-GB"/>
        </w:rPr>
        <w:t>1.a.</w:t>
      </w:r>
      <w:proofErr w:type="gramEnd"/>
      <w:r w:rsidRPr="001D22CA">
        <w:rPr>
          <w:rFonts w:cs="Open Sans"/>
          <w:szCs w:val="20"/>
          <w:lang w:val="en-GB"/>
        </w:rPr>
        <w:t>2 – Finance indicators</w:t>
      </w:r>
    </w:p>
    <w:p w14:paraId="0A984C2D" w14:textId="77777777" w:rsidR="001A26BF" w:rsidRPr="001D22CA" w:rsidRDefault="001A26BF" w:rsidP="001A26BF">
      <w:pPr>
        <w:rPr>
          <w:rFonts w:ascii="Open Sans" w:hAnsi="Open Sans" w:cs="Open Sans"/>
          <w:sz w:val="20"/>
          <w:szCs w:val="20"/>
          <w:lang w:val="en-GB"/>
        </w:rPr>
      </w:pPr>
      <w:r w:rsidRPr="001D22CA">
        <w:rPr>
          <w:rFonts w:ascii="Open Sans" w:hAnsi="Open Sans" w:cs="Open Sans"/>
          <w:sz w:val="20"/>
          <w:szCs w:val="20"/>
          <w:lang w:val="en-GB"/>
        </w:rPr>
        <w:t xml:space="preserve">Refer to paper </w:t>
      </w:r>
      <w:hyperlink r:id="rId10" w:history="1">
        <w:r w:rsidRPr="001D22CA">
          <w:rPr>
            <w:rStyle w:val="Hyperlink"/>
            <w:rFonts w:ascii="Open Sans" w:hAnsi="Open Sans" w:cs="Open Sans"/>
            <w:sz w:val="20"/>
            <w:szCs w:val="20"/>
            <w:lang w:val="en-GB"/>
          </w:rPr>
          <w:t>Filling the data gaps for Expenditure Data - Proposal from the UIS TCG Secretariat</w:t>
        </w:r>
      </w:hyperlink>
      <w:r w:rsidRPr="001D22CA">
        <w:rPr>
          <w:rFonts w:ascii="Open Sans" w:hAnsi="Open Sans" w:cs="Open Sans"/>
          <w:sz w:val="20"/>
          <w:szCs w:val="20"/>
          <w:lang w:val="en-GB"/>
        </w:rPr>
        <w:t xml:space="preserve"> for more details on the proposed options.</w:t>
      </w:r>
    </w:p>
    <w:p w14:paraId="0FAEFEEA" w14:textId="77777777" w:rsidR="001A26BF" w:rsidRPr="001D22CA" w:rsidRDefault="001A26BF" w:rsidP="001A26BF">
      <w:pPr>
        <w:pStyle w:val="Heading3"/>
        <w:rPr>
          <w:rFonts w:cs="Open Sans"/>
          <w:szCs w:val="20"/>
          <w:lang w:val="en-GB"/>
        </w:rPr>
      </w:pPr>
      <w:r w:rsidRPr="001D22CA">
        <w:rPr>
          <w:rFonts w:cs="Open Sans"/>
          <w:szCs w:val="20"/>
          <w:lang w:val="en-GB"/>
        </w:rPr>
        <w:t xml:space="preserve">2.4.1 What type of population weight should be used? </w:t>
      </w:r>
    </w:p>
    <w:p w14:paraId="4776230F" w14:textId="77777777" w:rsidR="001A26BF" w:rsidRPr="001D22CA" w:rsidRDefault="001A26BF" w:rsidP="001A26BF">
      <w:pPr>
        <w:pStyle w:val="ListParagraph"/>
        <w:numPr>
          <w:ilvl w:val="0"/>
          <w:numId w:val="15"/>
        </w:numPr>
        <w:rPr>
          <w:rFonts w:cs="Open Sans"/>
          <w:szCs w:val="20"/>
          <w:lang w:val="en-CA"/>
        </w:rPr>
      </w:pPr>
      <w:r w:rsidRPr="001D22CA">
        <w:rPr>
          <w:rFonts w:cs="Open Sans"/>
          <w:szCs w:val="20"/>
          <w:lang w:val="en-GB"/>
        </w:rPr>
        <w:t xml:space="preserve">Option 1: </w:t>
      </w:r>
      <w:r w:rsidRPr="001D22CA">
        <w:rPr>
          <w:rFonts w:cs="Open Sans"/>
          <w:szCs w:val="20"/>
          <w:lang w:val="en-CA"/>
        </w:rPr>
        <w:t>Median of countries, i.e., average over individual countries</w:t>
      </w:r>
    </w:p>
    <w:p w14:paraId="1A2BDE4D" w14:textId="6FD1DF4B" w:rsidR="001A26BF" w:rsidRPr="001D22CA" w:rsidRDefault="001A26BF" w:rsidP="001A26BF">
      <w:pPr>
        <w:pStyle w:val="ListParagraph"/>
        <w:numPr>
          <w:ilvl w:val="0"/>
          <w:numId w:val="15"/>
        </w:numPr>
        <w:rPr>
          <w:rFonts w:cs="Open Sans"/>
          <w:szCs w:val="20"/>
          <w:lang w:val="en-CA"/>
        </w:rPr>
      </w:pPr>
      <w:r w:rsidRPr="001D22CA">
        <w:rPr>
          <w:rFonts w:cs="Open Sans"/>
          <w:szCs w:val="20"/>
          <w:lang w:val="en-GB"/>
        </w:rPr>
        <w:t xml:space="preserve">Option 2: </w:t>
      </w:r>
      <w:r w:rsidRPr="001D22CA">
        <w:rPr>
          <w:rFonts w:cs="Open Sans"/>
          <w:szCs w:val="20"/>
          <w:lang w:val="en-CA"/>
        </w:rPr>
        <w:t>Mean of spending volume, i.e., public expenditure or GDP</w:t>
      </w:r>
    </w:p>
    <w:p w14:paraId="1FFC005F" w14:textId="77777777" w:rsidR="001A26BF" w:rsidRPr="001D22CA" w:rsidRDefault="001A26BF" w:rsidP="001A26BF">
      <w:pPr>
        <w:pStyle w:val="Heading3"/>
        <w:rPr>
          <w:rFonts w:cs="Open Sans"/>
          <w:szCs w:val="20"/>
          <w:lang w:val="en-GB"/>
        </w:rPr>
      </w:pPr>
      <w:r w:rsidRPr="001D22CA">
        <w:rPr>
          <w:rFonts w:cs="Open Sans"/>
          <w:szCs w:val="20"/>
          <w:lang w:val="en-GB"/>
        </w:rPr>
        <w:t>2.4.2 Which approach should be done when data is missing?</w:t>
      </w:r>
    </w:p>
    <w:p w14:paraId="21A71288" w14:textId="77777777" w:rsidR="001A26BF" w:rsidRPr="001D22CA" w:rsidRDefault="001A26BF" w:rsidP="001A26BF">
      <w:pPr>
        <w:pStyle w:val="ListParagraph"/>
        <w:numPr>
          <w:ilvl w:val="0"/>
          <w:numId w:val="15"/>
        </w:numPr>
        <w:rPr>
          <w:rFonts w:cs="Open Sans"/>
          <w:szCs w:val="20"/>
          <w:lang w:val="en-CA"/>
        </w:rPr>
      </w:pPr>
      <w:r w:rsidRPr="001D22CA">
        <w:rPr>
          <w:rFonts w:cs="Open Sans"/>
          <w:szCs w:val="20"/>
          <w:lang w:val="en-GB"/>
        </w:rPr>
        <w:t xml:space="preserve">Option 1: </w:t>
      </w:r>
      <w:r w:rsidRPr="001D22CA">
        <w:rPr>
          <w:rFonts w:cs="Open Sans"/>
          <w:szCs w:val="20"/>
          <w:lang w:val="en-CA"/>
        </w:rPr>
        <w:t>Median of countries, i.e., assume country has the regional value.</w:t>
      </w:r>
    </w:p>
    <w:p w14:paraId="217EB2F7" w14:textId="77777777" w:rsidR="001A26BF" w:rsidRPr="001D22CA" w:rsidRDefault="001A26BF" w:rsidP="001A26BF">
      <w:pPr>
        <w:pStyle w:val="ListParagraph"/>
        <w:numPr>
          <w:ilvl w:val="0"/>
          <w:numId w:val="15"/>
        </w:numPr>
        <w:rPr>
          <w:rFonts w:cs="Open Sans"/>
          <w:szCs w:val="20"/>
          <w:lang w:val="en-GB"/>
        </w:rPr>
      </w:pPr>
      <w:r w:rsidRPr="001D22CA">
        <w:rPr>
          <w:rFonts w:cs="Open Sans"/>
          <w:szCs w:val="20"/>
          <w:lang w:val="en-GB"/>
        </w:rPr>
        <w:t xml:space="preserve">Option 2: </w:t>
      </w:r>
      <w:r w:rsidRPr="001D22CA">
        <w:rPr>
          <w:rFonts w:cs="Open Sans"/>
          <w:szCs w:val="20"/>
          <w:lang w:val="en-CA"/>
        </w:rPr>
        <w:t>Impute missing values based on other information. The statistical model and the variables used for imputation will be clearly documented.</w:t>
      </w:r>
    </w:p>
    <w:p w14:paraId="14A4731E" w14:textId="77777777" w:rsidR="001A26BF" w:rsidRDefault="001A26BF" w:rsidP="001F0525">
      <w:pPr>
        <w:pStyle w:val="Heading3"/>
        <w:rPr>
          <w:lang w:val="en-GB"/>
        </w:rPr>
      </w:pPr>
      <w:r w:rsidRPr="001D22CA">
        <w:rPr>
          <w:rFonts w:cs="Open Sans"/>
          <w:szCs w:val="20"/>
        </w:rPr>
        <w:t>2.4.3</w:t>
      </w:r>
      <w:r w:rsidRPr="001D22CA">
        <w:rPr>
          <w:rFonts w:cs="Open Sans"/>
          <w:szCs w:val="20"/>
          <w:lang w:val="en-GB"/>
        </w:rPr>
        <w:t xml:space="preserve"> What is the minimum representation to report the regional/global</w:t>
      </w:r>
      <w:r>
        <w:rPr>
          <w:lang w:val="en-GB"/>
        </w:rPr>
        <w:t xml:space="preserve"> aggregate?</w:t>
      </w:r>
    </w:p>
    <w:p w14:paraId="03E10105" w14:textId="77777777" w:rsidR="001A26BF" w:rsidRDefault="001A26BF" w:rsidP="001F0525">
      <w:pPr>
        <w:pStyle w:val="ListParagraph"/>
        <w:keepNext/>
        <w:keepLines/>
        <w:numPr>
          <w:ilvl w:val="0"/>
          <w:numId w:val="14"/>
        </w:numPr>
        <w:rPr>
          <w:lang w:val="en-GB"/>
        </w:rPr>
      </w:pPr>
      <w:r>
        <w:rPr>
          <w:lang w:val="en-GB"/>
        </w:rPr>
        <w:t>Option 1: 50% of countries in the region</w:t>
      </w:r>
    </w:p>
    <w:p w14:paraId="69F0DC5A" w14:textId="77777777" w:rsidR="001A26BF" w:rsidRPr="00A313EB" w:rsidRDefault="001A26BF" w:rsidP="001F0525">
      <w:pPr>
        <w:pStyle w:val="ListParagraph"/>
        <w:keepNext/>
        <w:keepLines/>
        <w:numPr>
          <w:ilvl w:val="0"/>
          <w:numId w:val="14"/>
        </w:numPr>
        <w:spacing w:after="0" w:line="240" w:lineRule="auto"/>
        <w:jc w:val="left"/>
        <w:rPr>
          <w:rFonts w:cs="Open Sans"/>
          <w:b/>
          <w:bCs/>
          <w:color w:val="000000" w:themeColor="text1"/>
          <w:szCs w:val="20"/>
        </w:rPr>
      </w:pPr>
      <w:r w:rsidRPr="00A313EB">
        <w:rPr>
          <w:rFonts w:cs="Open Sans"/>
          <w:color w:val="000000" w:themeColor="text1"/>
          <w:szCs w:val="20"/>
        </w:rPr>
        <w:t xml:space="preserve">Option </w:t>
      </w:r>
      <w:r>
        <w:rPr>
          <w:rFonts w:cs="Open Sans"/>
          <w:color w:val="000000" w:themeColor="text1"/>
          <w:szCs w:val="20"/>
        </w:rPr>
        <w:t>2A</w:t>
      </w:r>
      <w:r w:rsidRPr="00A313EB">
        <w:rPr>
          <w:rFonts w:cs="Open Sans"/>
          <w:b/>
          <w:bCs/>
          <w:color w:val="000000" w:themeColor="text1"/>
          <w:szCs w:val="20"/>
        </w:rPr>
        <w:t xml:space="preserve">: </w:t>
      </w:r>
      <w:r w:rsidRPr="00A313EB">
        <w:rPr>
          <w:rFonts w:cs="Open Sans"/>
          <w:color w:val="000000" w:themeColor="text1"/>
          <w:szCs w:val="20"/>
        </w:rPr>
        <w:t xml:space="preserve">50% of total government expenditure in the region. </w:t>
      </w:r>
    </w:p>
    <w:p w14:paraId="58426A18" w14:textId="77777777" w:rsidR="001A26BF" w:rsidRPr="003812A3" w:rsidRDefault="001A26BF" w:rsidP="001F0525">
      <w:pPr>
        <w:pStyle w:val="ListParagraph"/>
        <w:keepNext/>
        <w:keepLines/>
        <w:numPr>
          <w:ilvl w:val="0"/>
          <w:numId w:val="14"/>
        </w:numPr>
        <w:spacing w:after="0" w:line="240" w:lineRule="auto"/>
        <w:jc w:val="left"/>
        <w:rPr>
          <w:rFonts w:cs="Open Sans"/>
          <w:b/>
          <w:bCs/>
          <w:color w:val="000000" w:themeColor="text1"/>
          <w:szCs w:val="20"/>
        </w:rPr>
      </w:pPr>
      <w:r w:rsidRPr="00A313EB">
        <w:rPr>
          <w:rFonts w:cs="Open Sans"/>
          <w:color w:val="000000" w:themeColor="text1"/>
          <w:szCs w:val="20"/>
        </w:rPr>
        <w:t xml:space="preserve">Option </w:t>
      </w:r>
      <w:r>
        <w:rPr>
          <w:rFonts w:cs="Open Sans"/>
          <w:color w:val="000000" w:themeColor="text1"/>
          <w:szCs w:val="20"/>
        </w:rPr>
        <w:t>2B</w:t>
      </w:r>
      <w:r w:rsidRPr="003812A3">
        <w:rPr>
          <w:rFonts w:cs="Open Sans"/>
          <w:color w:val="000000" w:themeColor="text1"/>
          <w:szCs w:val="20"/>
        </w:rPr>
        <w:t xml:space="preserve">: </w:t>
      </w:r>
    </w:p>
    <w:p w14:paraId="06ED0F29" w14:textId="77777777" w:rsidR="001A26BF" w:rsidRPr="003812A3" w:rsidRDefault="001A26BF" w:rsidP="001F0525">
      <w:pPr>
        <w:pStyle w:val="ListParagraph"/>
        <w:keepNext/>
        <w:keepLines/>
        <w:numPr>
          <w:ilvl w:val="1"/>
          <w:numId w:val="14"/>
        </w:numPr>
        <w:spacing w:after="0" w:line="240" w:lineRule="auto"/>
        <w:jc w:val="left"/>
        <w:rPr>
          <w:rFonts w:cs="Open Sans"/>
          <w:szCs w:val="20"/>
        </w:rPr>
      </w:pPr>
      <w:r w:rsidRPr="003812A3">
        <w:rPr>
          <w:rFonts w:cs="Open Sans"/>
          <w:szCs w:val="20"/>
        </w:rPr>
        <w:t xml:space="preserve">≥60% of total general government expenditure in PPP$ in the region: </w:t>
      </w:r>
      <w:proofErr w:type="gramStart"/>
      <w:r w:rsidRPr="003812A3">
        <w:rPr>
          <w:rFonts w:cs="Open Sans"/>
          <w:szCs w:val="20"/>
        </w:rPr>
        <w:t>publish</w:t>
      </w:r>
      <w:proofErr w:type="gramEnd"/>
    </w:p>
    <w:p w14:paraId="4F6B55B6" w14:textId="77777777" w:rsidR="001A26BF" w:rsidRPr="003812A3" w:rsidRDefault="001A26BF" w:rsidP="001F0525">
      <w:pPr>
        <w:pStyle w:val="ListParagraph"/>
        <w:keepNext/>
        <w:keepLines/>
        <w:numPr>
          <w:ilvl w:val="1"/>
          <w:numId w:val="14"/>
        </w:numPr>
        <w:spacing w:after="0" w:line="240" w:lineRule="auto"/>
        <w:jc w:val="left"/>
        <w:rPr>
          <w:rFonts w:cs="Open Sans"/>
          <w:szCs w:val="20"/>
        </w:rPr>
      </w:pPr>
      <w:r w:rsidRPr="003812A3">
        <w:rPr>
          <w:rFonts w:cs="Open Sans"/>
          <w:szCs w:val="20"/>
        </w:rPr>
        <w:t xml:space="preserve">&lt;60% and ≥33% of total general government expenditure in PPP$ in the region: publish as </w:t>
      </w:r>
      <w:r>
        <w:rPr>
          <w:rFonts w:cs="Open Sans"/>
          <w:szCs w:val="20"/>
        </w:rPr>
        <w:t>‘</w:t>
      </w:r>
      <w:r w:rsidRPr="003812A3">
        <w:rPr>
          <w:rFonts w:cs="Open Sans"/>
          <w:szCs w:val="20"/>
        </w:rPr>
        <w:t>UIS estimate</w:t>
      </w:r>
      <w:r>
        <w:rPr>
          <w:rFonts w:cs="Open Sans"/>
          <w:szCs w:val="20"/>
        </w:rPr>
        <w:t>’</w:t>
      </w:r>
      <w:r w:rsidRPr="003812A3">
        <w:rPr>
          <w:rFonts w:cs="Open Sans"/>
          <w:szCs w:val="20"/>
        </w:rPr>
        <w:t>.</w:t>
      </w:r>
    </w:p>
    <w:p w14:paraId="63C3FB56" w14:textId="77777777" w:rsidR="001A26BF" w:rsidRPr="003812A3" w:rsidRDefault="001A26BF" w:rsidP="006D3619">
      <w:pPr>
        <w:pStyle w:val="ListParagraph"/>
        <w:numPr>
          <w:ilvl w:val="1"/>
          <w:numId w:val="14"/>
        </w:numPr>
        <w:spacing w:after="0" w:line="240" w:lineRule="auto"/>
        <w:ind w:left="1434" w:hanging="357"/>
        <w:jc w:val="left"/>
        <w:rPr>
          <w:rFonts w:cs="Open Sans"/>
          <w:szCs w:val="20"/>
        </w:rPr>
      </w:pPr>
      <w:r w:rsidRPr="003812A3">
        <w:rPr>
          <w:rFonts w:cs="Open Sans"/>
          <w:szCs w:val="20"/>
        </w:rPr>
        <w:t xml:space="preserve">&lt;33% of total general government expenditure in PPP$ in the region: </w:t>
      </w:r>
      <w:r>
        <w:rPr>
          <w:rFonts w:cs="Open Sans"/>
          <w:szCs w:val="20"/>
        </w:rPr>
        <w:t xml:space="preserve">do </w:t>
      </w:r>
      <w:r w:rsidRPr="003812A3">
        <w:rPr>
          <w:rFonts w:cs="Open Sans"/>
          <w:szCs w:val="20"/>
        </w:rPr>
        <w:t xml:space="preserve">not publish. </w:t>
      </w:r>
    </w:p>
    <w:p w14:paraId="708DF25F" w14:textId="77777777" w:rsidR="001A26BF" w:rsidRPr="001D22CA" w:rsidRDefault="001A26BF" w:rsidP="006D3619">
      <w:pPr>
        <w:pStyle w:val="Heading2"/>
        <w:rPr>
          <w:rFonts w:cs="Open Sans"/>
          <w:szCs w:val="20"/>
          <w:lang w:val="en-GB"/>
        </w:rPr>
      </w:pPr>
      <w:r w:rsidRPr="001D22CA">
        <w:rPr>
          <w:rFonts w:cs="Open Sans"/>
          <w:szCs w:val="20"/>
          <w:lang w:val="en-GB"/>
        </w:rPr>
        <w:lastRenderedPageBreak/>
        <w:t>2.5 – Confidence intervals and disaggregation</w:t>
      </w:r>
    </w:p>
    <w:p w14:paraId="4851BA85" w14:textId="77777777" w:rsidR="001A26BF" w:rsidRPr="001D22CA" w:rsidRDefault="001A26BF" w:rsidP="006D3619">
      <w:pPr>
        <w:keepNext/>
        <w:keepLines/>
        <w:rPr>
          <w:rFonts w:ascii="Open Sans" w:hAnsi="Open Sans" w:cs="Open Sans"/>
          <w:sz w:val="20"/>
          <w:szCs w:val="20"/>
          <w:lang w:val="en-GB"/>
        </w:rPr>
      </w:pPr>
      <w:r w:rsidRPr="001D22CA">
        <w:rPr>
          <w:rFonts w:ascii="Open Sans" w:hAnsi="Open Sans" w:cs="Open Sans"/>
          <w:sz w:val="20"/>
          <w:szCs w:val="20"/>
          <w:lang w:val="en-GB"/>
        </w:rPr>
        <w:t>The following question is related to indicators 4.1.1, 4.1.2 and 4.2.2.</w:t>
      </w:r>
    </w:p>
    <w:p w14:paraId="5D8B84FE" w14:textId="5BA0F131" w:rsidR="001A26BF" w:rsidRPr="001D22CA" w:rsidRDefault="001A26BF" w:rsidP="006D3619">
      <w:pPr>
        <w:keepNext/>
        <w:keepLines/>
        <w:rPr>
          <w:rFonts w:ascii="Open Sans" w:hAnsi="Open Sans" w:cs="Open Sans"/>
          <w:b/>
          <w:bCs/>
          <w:sz w:val="20"/>
          <w:szCs w:val="20"/>
          <w:lang w:val="en-GB"/>
        </w:rPr>
      </w:pPr>
      <w:r w:rsidRPr="001D22CA">
        <w:rPr>
          <w:rFonts w:ascii="Open Sans" w:hAnsi="Open Sans" w:cs="Open Sans"/>
          <w:b/>
          <w:bCs/>
          <w:sz w:val="20"/>
          <w:szCs w:val="20"/>
          <w:lang w:val="en-US"/>
        </w:rPr>
        <w:t>Should the indicators 4.1.1, 4.1.2 and 4.2.2 be disaggregated for urban/rural region and bottom/top quintile?</w:t>
      </w:r>
    </w:p>
    <w:p w14:paraId="4C79E202" w14:textId="77777777" w:rsidR="001A26BF" w:rsidRPr="001D22CA" w:rsidRDefault="001A26BF" w:rsidP="006D3619">
      <w:pPr>
        <w:pStyle w:val="ListParagraph"/>
        <w:keepNext/>
        <w:keepLines/>
        <w:numPr>
          <w:ilvl w:val="0"/>
          <w:numId w:val="9"/>
        </w:numPr>
        <w:rPr>
          <w:rFonts w:cs="Open Sans"/>
          <w:szCs w:val="20"/>
        </w:rPr>
      </w:pPr>
      <w:r w:rsidRPr="001D22CA">
        <w:rPr>
          <w:rFonts w:cs="Open Sans"/>
          <w:szCs w:val="20"/>
        </w:rPr>
        <w:t xml:space="preserve">Option 1: </w:t>
      </w:r>
      <w:r w:rsidRPr="001D22CA">
        <w:rPr>
          <w:rFonts w:cs="Open Sans"/>
          <w:szCs w:val="20"/>
          <w:lang w:val="en-GB"/>
        </w:rPr>
        <w:t>Aggregates for urban/rural and bottom/top quintile</w:t>
      </w:r>
    </w:p>
    <w:p w14:paraId="7AE0497B" w14:textId="77777777" w:rsidR="001A26BF" w:rsidRPr="001D22CA" w:rsidRDefault="001A26BF" w:rsidP="006D3619">
      <w:pPr>
        <w:pStyle w:val="ListParagraph"/>
        <w:keepNext/>
        <w:keepLines/>
        <w:numPr>
          <w:ilvl w:val="0"/>
          <w:numId w:val="9"/>
        </w:numPr>
        <w:rPr>
          <w:rFonts w:cs="Open Sans"/>
          <w:szCs w:val="20"/>
        </w:rPr>
      </w:pPr>
      <w:r w:rsidRPr="001D22CA">
        <w:rPr>
          <w:rFonts w:cs="Open Sans"/>
          <w:szCs w:val="20"/>
        </w:rPr>
        <w:t xml:space="preserve">Option 2: </w:t>
      </w:r>
      <w:r w:rsidRPr="001D22CA">
        <w:rPr>
          <w:rFonts w:cs="Open Sans"/>
          <w:szCs w:val="20"/>
          <w:lang w:val="en-GB"/>
        </w:rPr>
        <w:t>No aggregates for urban/rural and bottom/top quintile</w:t>
      </w:r>
    </w:p>
    <w:p w14:paraId="096FDCF6" w14:textId="77777777" w:rsidR="001A26BF" w:rsidRDefault="001A26BF" w:rsidP="001A26BF">
      <w:pPr>
        <w:rPr>
          <w:lang w:val="en-GB"/>
        </w:rPr>
      </w:pPr>
    </w:p>
    <w:p w14:paraId="237C84CA" w14:textId="77777777" w:rsidR="001A26BF" w:rsidRPr="001A26BF" w:rsidRDefault="001A26BF" w:rsidP="001A26BF">
      <w:pPr>
        <w:rPr>
          <w:rFonts w:cstheme="minorHAnsi"/>
          <w:lang w:val="en-US"/>
        </w:rPr>
      </w:pPr>
    </w:p>
    <w:p w14:paraId="15936CC9" w14:textId="7AFEEE6E" w:rsidR="00F74FCD" w:rsidRPr="002263E5" w:rsidRDefault="00F74FCD" w:rsidP="001A26BF">
      <w:pPr>
        <w:jc w:val="both"/>
        <w:rPr>
          <w:rFonts w:ascii="Times New Roman" w:hAnsi="Times New Roman" w:cs="Times New Roman"/>
          <w:sz w:val="2"/>
          <w:szCs w:val="2"/>
          <w:lang w:val="en-US"/>
        </w:rPr>
      </w:pPr>
    </w:p>
    <w:p w14:paraId="79798025" w14:textId="53C11157" w:rsidR="008D64A4" w:rsidRDefault="008D64A4" w:rsidP="008400F4">
      <w:pPr>
        <w:pStyle w:val="Heading1"/>
      </w:pPr>
    </w:p>
    <w:sectPr w:rsidR="008D64A4" w:rsidSect="00845ED1">
      <w:headerReference w:type="default" r:id="rId11"/>
      <w:footerReference w:type="default" r:id="rId12"/>
      <w:headerReference w:type="firs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8F568" w14:textId="77777777" w:rsidR="00BE6DA9" w:rsidRDefault="00BE6DA9" w:rsidP="00EC1B2A">
      <w:pPr>
        <w:spacing w:after="0" w:line="240" w:lineRule="auto"/>
      </w:pPr>
      <w:r>
        <w:separator/>
      </w:r>
    </w:p>
  </w:endnote>
  <w:endnote w:type="continuationSeparator" w:id="0">
    <w:p w14:paraId="099CA835" w14:textId="77777777" w:rsidR="00BE6DA9" w:rsidRDefault="00BE6DA9" w:rsidP="00EC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987574"/>
      <w:docPartObj>
        <w:docPartGallery w:val="Page Numbers (Bottom of Page)"/>
        <w:docPartUnique/>
      </w:docPartObj>
    </w:sdtPr>
    <w:sdtEndPr>
      <w:rPr>
        <w:noProof/>
      </w:rPr>
    </w:sdtEndPr>
    <w:sdtContent>
      <w:p w14:paraId="28627F77" w14:textId="2C5FA6BA" w:rsidR="008400F4" w:rsidRDefault="008400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1B320" w14:textId="77777777" w:rsidR="008400F4" w:rsidRDefault="00840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BBAFE" w14:textId="77777777" w:rsidR="00BE6DA9" w:rsidRDefault="00BE6DA9" w:rsidP="00EC1B2A">
      <w:pPr>
        <w:spacing w:after="0" w:line="240" w:lineRule="auto"/>
      </w:pPr>
      <w:r>
        <w:separator/>
      </w:r>
    </w:p>
  </w:footnote>
  <w:footnote w:type="continuationSeparator" w:id="0">
    <w:p w14:paraId="3647C747" w14:textId="77777777" w:rsidR="00BE6DA9" w:rsidRDefault="00BE6DA9" w:rsidP="00EC1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3F20" w14:textId="3C59B49C" w:rsidR="00DB0624" w:rsidRDefault="00A65AA8" w:rsidP="00DB0624">
    <w:pPr>
      <w:spacing w:after="0"/>
      <w:jc w:val="right"/>
      <w:rPr>
        <w:rFonts w:ascii="Open Sans" w:eastAsia="DengXian Light" w:hAnsi="Open Sans" w:cs="Open Sans"/>
        <w:b/>
        <w:bCs/>
        <w:color w:val="000000" w:themeColor="text1"/>
        <w:sz w:val="20"/>
        <w:szCs w:val="18"/>
        <w:lang w:val="en-CA"/>
      </w:rPr>
    </w:pPr>
    <w:r w:rsidRPr="00DB0624">
      <w:rPr>
        <w:rFonts w:ascii="Open Sans" w:hAnsi="Open Sans" w:cs="Open Sans"/>
        <w:b/>
        <w:bCs/>
        <w:noProof/>
        <w:sz w:val="14"/>
        <w:szCs w:val="14"/>
      </w:rPr>
      <w:drawing>
        <wp:anchor distT="0" distB="0" distL="114300" distR="114300" simplePos="0" relativeHeight="251658240" behindDoc="1" locked="0" layoutInCell="1" allowOverlap="1" wp14:anchorId="4A00CAEB" wp14:editId="4D87C5DE">
          <wp:simplePos x="0" y="0"/>
          <wp:positionH relativeFrom="column">
            <wp:posOffset>20955</wp:posOffset>
          </wp:positionH>
          <wp:positionV relativeFrom="paragraph">
            <wp:posOffset>123048</wp:posOffset>
          </wp:positionV>
          <wp:extent cx="1084580" cy="408940"/>
          <wp:effectExtent l="0" t="0" r="1270" b="0"/>
          <wp:wrapTight wrapText="bothSides">
            <wp:wrapPolygon edited="0">
              <wp:start x="0" y="0"/>
              <wp:lineTo x="0" y="20124"/>
              <wp:lineTo x="21246" y="20124"/>
              <wp:lineTo x="21246"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20244" t="17576" r="31436" b="56664"/>
                  <a:stretch/>
                </pic:blipFill>
                <pic:spPr bwMode="auto">
                  <a:xfrm>
                    <a:off x="0" y="0"/>
                    <a:ext cx="1084580" cy="408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676F0C" w14:textId="648423AE" w:rsidR="008D64A4" w:rsidRDefault="00DB0624" w:rsidP="00DB0624">
    <w:pPr>
      <w:spacing w:after="0"/>
      <w:jc w:val="right"/>
      <w:rPr>
        <w:rFonts w:ascii="Open Sans" w:eastAsia="DengXian Light" w:hAnsi="Open Sans" w:cs="Open Sans"/>
        <w:b/>
        <w:bCs/>
        <w:color w:val="000000" w:themeColor="text1"/>
        <w:sz w:val="20"/>
        <w:szCs w:val="18"/>
        <w:lang w:val="en-CA"/>
      </w:rPr>
    </w:pPr>
    <w:r w:rsidRPr="00DB0624">
      <w:rPr>
        <w:rFonts w:ascii="Open Sans" w:eastAsia="DengXian Light" w:hAnsi="Open Sans" w:cs="Open Sans"/>
        <w:b/>
        <w:bCs/>
        <w:color w:val="000000" w:themeColor="text1"/>
        <w:sz w:val="20"/>
        <w:szCs w:val="18"/>
        <w:lang w:val="en-CA"/>
      </w:rPr>
      <w:t>TCG 21 June 2021 Meeting</w:t>
    </w:r>
    <w:r w:rsidRPr="00DB0624">
      <w:rPr>
        <w:rFonts w:ascii="Open Sans" w:eastAsia="DengXian Light" w:hAnsi="Open Sans" w:cs="Open Sans"/>
        <w:b/>
        <w:bCs/>
        <w:color w:val="000000" w:themeColor="text1"/>
        <w:sz w:val="20"/>
        <w:szCs w:val="18"/>
        <w:lang w:val="en-CA"/>
      </w:rPr>
      <w:t xml:space="preserve"> </w:t>
    </w:r>
    <w:r>
      <w:rPr>
        <w:rFonts w:ascii="Open Sans" w:eastAsia="DengXian Light" w:hAnsi="Open Sans" w:cs="Open Sans"/>
        <w:b/>
        <w:bCs/>
        <w:color w:val="000000" w:themeColor="text1"/>
        <w:sz w:val="20"/>
        <w:szCs w:val="18"/>
        <w:lang w:val="en-CA"/>
      </w:rPr>
      <w:t>–</w:t>
    </w:r>
    <w:r w:rsidRPr="00DB0624">
      <w:rPr>
        <w:rFonts w:ascii="Open Sans" w:eastAsia="DengXian Light" w:hAnsi="Open Sans" w:cs="Open Sans"/>
        <w:b/>
        <w:bCs/>
        <w:color w:val="000000" w:themeColor="text1"/>
        <w:sz w:val="20"/>
        <w:szCs w:val="18"/>
        <w:lang w:val="en-CA"/>
      </w:rPr>
      <w:t xml:space="preserve"> </w:t>
    </w:r>
    <w:r w:rsidRPr="00DB0624">
      <w:rPr>
        <w:rFonts w:ascii="Open Sans" w:eastAsia="DengXian Light" w:hAnsi="Open Sans" w:cs="Open Sans"/>
        <w:b/>
        <w:bCs/>
        <w:color w:val="000000" w:themeColor="text1"/>
        <w:sz w:val="20"/>
        <w:szCs w:val="18"/>
        <w:lang w:val="en-CA"/>
      </w:rPr>
      <w:t>Consultation</w:t>
    </w:r>
  </w:p>
  <w:p w14:paraId="322F903B" w14:textId="49F555A7" w:rsidR="00DB0624" w:rsidRDefault="00DB0624" w:rsidP="00DB0624">
    <w:pPr>
      <w:spacing w:after="0"/>
      <w:jc w:val="right"/>
      <w:rPr>
        <w:rFonts w:ascii="Open Sans" w:eastAsia="DengXian Light" w:hAnsi="Open Sans" w:cs="Open Sans"/>
        <w:b/>
        <w:bCs/>
        <w:color w:val="000000" w:themeColor="text1"/>
        <w:sz w:val="20"/>
        <w:szCs w:val="18"/>
        <w:lang w:val="en-CA"/>
      </w:rPr>
    </w:pPr>
  </w:p>
  <w:p w14:paraId="63E3D3F0" w14:textId="36468A16" w:rsidR="00DB0624" w:rsidRDefault="00DB0624" w:rsidP="00DB0624">
    <w:pPr>
      <w:spacing w:after="0"/>
      <w:jc w:val="right"/>
      <w:rPr>
        <w:rFonts w:ascii="Open Sans" w:eastAsia="DengXian Light" w:hAnsi="Open Sans" w:cs="Open Sans"/>
        <w:b/>
        <w:bCs/>
        <w:color w:val="000000" w:themeColor="text1"/>
        <w:sz w:val="20"/>
        <w:szCs w:val="18"/>
        <w:lang w:val="en-CA"/>
      </w:rPr>
    </w:pPr>
  </w:p>
  <w:p w14:paraId="4B2C370C" w14:textId="77777777" w:rsidR="00DB0624" w:rsidRPr="00DB0624" w:rsidRDefault="00DB0624" w:rsidP="00DB0624">
    <w:pPr>
      <w:spacing w:after="0"/>
      <w:jc w:val="right"/>
      <w:rPr>
        <w:rFonts w:ascii="Open Sans" w:hAnsi="Open Sans" w:cs="Open Sans"/>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97BD" w14:textId="004F9052" w:rsidR="00A65AA8" w:rsidRDefault="00A65AA8">
    <w:pPr>
      <w:pStyle w:val="Header"/>
    </w:pPr>
    <w:r w:rsidRPr="00DB0624">
      <w:rPr>
        <w:rFonts w:ascii="Open Sans" w:hAnsi="Open Sans" w:cs="Open Sans"/>
        <w:b/>
        <w:bCs/>
        <w:noProof/>
        <w:sz w:val="14"/>
        <w:szCs w:val="14"/>
      </w:rPr>
      <w:drawing>
        <wp:anchor distT="0" distB="0" distL="114300" distR="114300" simplePos="0" relativeHeight="251660288" behindDoc="1" locked="0" layoutInCell="1" allowOverlap="1" wp14:anchorId="07603FC8" wp14:editId="1C89C07F">
          <wp:simplePos x="0" y="0"/>
          <wp:positionH relativeFrom="column">
            <wp:posOffset>-96520</wp:posOffset>
          </wp:positionH>
          <wp:positionV relativeFrom="paragraph">
            <wp:posOffset>114604</wp:posOffset>
          </wp:positionV>
          <wp:extent cx="1851025" cy="1732915"/>
          <wp:effectExtent l="0" t="0" r="0" b="0"/>
          <wp:wrapTight wrapText="bothSides">
            <wp:wrapPolygon edited="0">
              <wp:start x="1556" y="712"/>
              <wp:lineTo x="1556" y="8311"/>
              <wp:lineTo x="2890" y="8786"/>
              <wp:lineTo x="10670" y="8786"/>
              <wp:lineTo x="2445" y="9735"/>
              <wp:lineTo x="1556" y="9973"/>
              <wp:lineTo x="1556" y="18996"/>
              <wp:lineTo x="2223" y="19708"/>
              <wp:lineTo x="4891" y="20183"/>
              <wp:lineTo x="6002" y="20183"/>
              <wp:lineTo x="16672" y="17809"/>
              <wp:lineTo x="17339" y="16621"/>
              <wp:lineTo x="15561" y="16384"/>
              <wp:lineTo x="20229" y="12585"/>
              <wp:lineTo x="20896" y="10448"/>
              <wp:lineTo x="18895" y="9498"/>
              <wp:lineTo x="20896" y="8311"/>
              <wp:lineTo x="20451" y="712"/>
              <wp:lineTo x="1556" y="712"/>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6254" t="14360" r="28403" b="12378"/>
                  <a:stretch/>
                </pic:blipFill>
                <pic:spPr bwMode="auto">
                  <a:xfrm>
                    <a:off x="0" y="0"/>
                    <a:ext cx="1851025" cy="1732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DE6"/>
    <w:multiLevelType w:val="hybridMultilevel"/>
    <w:tmpl w:val="D40A2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D902C1"/>
    <w:multiLevelType w:val="hybridMultilevel"/>
    <w:tmpl w:val="AE3A66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C6528"/>
    <w:multiLevelType w:val="hybridMultilevel"/>
    <w:tmpl w:val="D4B4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E0FDA"/>
    <w:multiLevelType w:val="hybridMultilevel"/>
    <w:tmpl w:val="91C84394"/>
    <w:lvl w:ilvl="0" w:tplc="E460B41C">
      <w:start w:val="1"/>
      <w:numFmt w:val="decimal"/>
      <w:lvlText w:val="%1."/>
      <w:lvlJc w:val="left"/>
      <w:pPr>
        <w:tabs>
          <w:tab w:val="num" w:pos="-28"/>
        </w:tabs>
        <w:ind w:left="-28" w:hanging="360"/>
      </w:pPr>
    </w:lvl>
    <w:lvl w:ilvl="1" w:tplc="398E69B8" w:tentative="1">
      <w:start w:val="1"/>
      <w:numFmt w:val="decimal"/>
      <w:lvlText w:val="%2."/>
      <w:lvlJc w:val="left"/>
      <w:pPr>
        <w:tabs>
          <w:tab w:val="num" w:pos="692"/>
        </w:tabs>
        <w:ind w:left="692" w:hanging="360"/>
      </w:pPr>
    </w:lvl>
    <w:lvl w:ilvl="2" w:tplc="5986F884" w:tentative="1">
      <w:start w:val="1"/>
      <w:numFmt w:val="decimal"/>
      <w:lvlText w:val="%3."/>
      <w:lvlJc w:val="left"/>
      <w:pPr>
        <w:tabs>
          <w:tab w:val="num" w:pos="1412"/>
        </w:tabs>
        <w:ind w:left="1412" w:hanging="360"/>
      </w:pPr>
    </w:lvl>
    <w:lvl w:ilvl="3" w:tplc="957C607A" w:tentative="1">
      <w:start w:val="1"/>
      <w:numFmt w:val="decimal"/>
      <w:lvlText w:val="%4."/>
      <w:lvlJc w:val="left"/>
      <w:pPr>
        <w:tabs>
          <w:tab w:val="num" w:pos="2132"/>
        </w:tabs>
        <w:ind w:left="2132" w:hanging="360"/>
      </w:pPr>
    </w:lvl>
    <w:lvl w:ilvl="4" w:tplc="ADF2A002" w:tentative="1">
      <w:start w:val="1"/>
      <w:numFmt w:val="decimal"/>
      <w:lvlText w:val="%5."/>
      <w:lvlJc w:val="left"/>
      <w:pPr>
        <w:tabs>
          <w:tab w:val="num" w:pos="2852"/>
        </w:tabs>
        <w:ind w:left="2852" w:hanging="360"/>
      </w:pPr>
    </w:lvl>
    <w:lvl w:ilvl="5" w:tplc="E3FE2D9E" w:tentative="1">
      <w:start w:val="1"/>
      <w:numFmt w:val="decimal"/>
      <w:lvlText w:val="%6."/>
      <w:lvlJc w:val="left"/>
      <w:pPr>
        <w:tabs>
          <w:tab w:val="num" w:pos="3572"/>
        </w:tabs>
        <w:ind w:left="3572" w:hanging="360"/>
      </w:pPr>
    </w:lvl>
    <w:lvl w:ilvl="6" w:tplc="4AC4AA82" w:tentative="1">
      <w:start w:val="1"/>
      <w:numFmt w:val="decimal"/>
      <w:lvlText w:val="%7."/>
      <w:lvlJc w:val="left"/>
      <w:pPr>
        <w:tabs>
          <w:tab w:val="num" w:pos="4292"/>
        </w:tabs>
        <w:ind w:left="4292" w:hanging="360"/>
      </w:pPr>
    </w:lvl>
    <w:lvl w:ilvl="7" w:tplc="C360E41A" w:tentative="1">
      <w:start w:val="1"/>
      <w:numFmt w:val="decimal"/>
      <w:lvlText w:val="%8."/>
      <w:lvlJc w:val="left"/>
      <w:pPr>
        <w:tabs>
          <w:tab w:val="num" w:pos="5012"/>
        </w:tabs>
        <w:ind w:left="5012" w:hanging="360"/>
      </w:pPr>
    </w:lvl>
    <w:lvl w:ilvl="8" w:tplc="5EFAFC18" w:tentative="1">
      <w:start w:val="1"/>
      <w:numFmt w:val="decimal"/>
      <w:lvlText w:val="%9."/>
      <w:lvlJc w:val="left"/>
      <w:pPr>
        <w:tabs>
          <w:tab w:val="num" w:pos="5732"/>
        </w:tabs>
        <w:ind w:left="5732" w:hanging="360"/>
      </w:pPr>
    </w:lvl>
  </w:abstractNum>
  <w:abstractNum w:abstractNumId="4" w15:restartNumberingAfterBreak="0">
    <w:nsid w:val="2CD36125"/>
    <w:multiLevelType w:val="hybridMultilevel"/>
    <w:tmpl w:val="3ECA4E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40161"/>
    <w:multiLevelType w:val="hybridMultilevel"/>
    <w:tmpl w:val="1C2C0C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21535"/>
    <w:multiLevelType w:val="hybridMultilevel"/>
    <w:tmpl w:val="6CB840D6"/>
    <w:lvl w:ilvl="0" w:tplc="D9C05D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E0E09"/>
    <w:multiLevelType w:val="hybridMultilevel"/>
    <w:tmpl w:val="54CEF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C379F"/>
    <w:multiLevelType w:val="hybridMultilevel"/>
    <w:tmpl w:val="046289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15AF9"/>
    <w:multiLevelType w:val="hybridMultilevel"/>
    <w:tmpl w:val="8F205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60B6A"/>
    <w:multiLevelType w:val="hybridMultilevel"/>
    <w:tmpl w:val="119277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A341E"/>
    <w:multiLevelType w:val="hybridMultilevel"/>
    <w:tmpl w:val="00728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9156A3"/>
    <w:multiLevelType w:val="hybridMultilevel"/>
    <w:tmpl w:val="E0466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FF043E"/>
    <w:multiLevelType w:val="hybridMultilevel"/>
    <w:tmpl w:val="B8B2FC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47367"/>
    <w:multiLevelType w:val="hybridMultilevel"/>
    <w:tmpl w:val="A972F7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B4167"/>
    <w:multiLevelType w:val="hybridMultilevel"/>
    <w:tmpl w:val="7D5A680E"/>
    <w:lvl w:ilvl="0" w:tplc="DE90F22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1"/>
  </w:num>
  <w:num w:numId="4">
    <w:abstractNumId w:val="0"/>
  </w:num>
  <w:num w:numId="5">
    <w:abstractNumId w:val="12"/>
  </w:num>
  <w:num w:numId="6">
    <w:abstractNumId w:val="6"/>
  </w:num>
  <w:num w:numId="7">
    <w:abstractNumId w:val="7"/>
  </w:num>
  <w:num w:numId="8">
    <w:abstractNumId w:val="13"/>
  </w:num>
  <w:num w:numId="9">
    <w:abstractNumId w:val="5"/>
  </w:num>
  <w:num w:numId="10">
    <w:abstractNumId w:val="1"/>
  </w:num>
  <w:num w:numId="11">
    <w:abstractNumId w:val="14"/>
  </w:num>
  <w:num w:numId="12">
    <w:abstractNumId w:val="10"/>
  </w:num>
  <w:num w:numId="13">
    <w:abstractNumId w:val="4"/>
  </w:num>
  <w:num w:numId="14">
    <w:abstractNumId w:val="8"/>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42C"/>
    <w:rsid w:val="00021FEB"/>
    <w:rsid w:val="00051EB9"/>
    <w:rsid w:val="00054227"/>
    <w:rsid w:val="00086834"/>
    <w:rsid w:val="00091CA0"/>
    <w:rsid w:val="000B1C08"/>
    <w:rsid w:val="00105503"/>
    <w:rsid w:val="00123B6F"/>
    <w:rsid w:val="0013224C"/>
    <w:rsid w:val="00136FE1"/>
    <w:rsid w:val="00156B24"/>
    <w:rsid w:val="001A26BF"/>
    <w:rsid w:val="001A37D2"/>
    <w:rsid w:val="001C534F"/>
    <w:rsid w:val="001D22CA"/>
    <w:rsid w:val="001D53E8"/>
    <w:rsid w:val="001F0525"/>
    <w:rsid w:val="00211C18"/>
    <w:rsid w:val="002263E5"/>
    <w:rsid w:val="002271D5"/>
    <w:rsid w:val="002410FE"/>
    <w:rsid w:val="002508FE"/>
    <w:rsid w:val="002542E1"/>
    <w:rsid w:val="002916DB"/>
    <w:rsid w:val="002967EB"/>
    <w:rsid w:val="00296EE2"/>
    <w:rsid w:val="002E1081"/>
    <w:rsid w:val="002F71FE"/>
    <w:rsid w:val="00300CF5"/>
    <w:rsid w:val="00301F28"/>
    <w:rsid w:val="0036169A"/>
    <w:rsid w:val="00362EEC"/>
    <w:rsid w:val="00363932"/>
    <w:rsid w:val="003861E2"/>
    <w:rsid w:val="00386330"/>
    <w:rsid w:val="003C3F6D"/>
    <w:rsid w:val="003F310F"/>
    <w:rsid w:val="0041279F"/>
    <w:rsid w:val="00464FD9"/>
    <w:rsid w:val="00475DC0"/>
    <w:rsid w:val="00485002"/>
    <w:rsid w:val="004A0FD7"/>
    <w:rsid w:val="004B0F7B"/>
    <w:rsid w:val="004E7954"/>
    <w:rsid w:val="004F787E"/>
    <w:rsid w:val="00524E32"/>
    <w:rsid w:val="00552983"/>
    <w:rsid w:val="00560098"/>
    <w:rsid w:val="005673C4"/>
    <w:rsid w:val="005E01B9"/>
    <w:rsid w:val="00607F87"/>
    <w:rsid w:val="00650044"/>
    <w:rsid w:val="006524C6"/>
    <w:rsid w:val="00692A64"/>
    <w:rsid w:val="006A2CD3"/>
    <w:rsid w:val="006C0D18"/>
    <w:rsid w:val="006D3619"/>
    <w:rsid w:val="006E25AA"/>
    <w:rsid w:val="0070331D"/>
    <w:rsid w:val="00706076"/>
    <w:rsid w:val="00706E6F"/>
    <w:rsid w:val="007144B0"/>
    <w:rsid w:val="007233A2"/>
    <w:rsid w:val="007412DC"/>
    <w:rsid w:val="00771E89"/>
    <w:rsid w:val="00787223"/>
    <w:rsid w:val="007963F1"/>
    <w:rsid w:val="007B1935"/>
    <w:rsid w:val="007C1506"/>
    <w:rsid w:val="007E2C57"/>
    <w:rsid w:val="008354D2"/>
    <w:rsid w:val="008400F4"/>
    <w:rsid w:val="00845ED1"/>
    <w:rsid w:val="00882076"/>
    <w:rsid w:val="008A0FC3"/>
    <w:rsid w:val="008A5E44"/>
    <w:rsid w:val="008D64A4"/>
    <w:rsid w:val="008F5582"/>
    <w:rsid w:val="009318B1"/>
    <w:rsid w:val="009443B4"/>
    <w:rsid w:val="00947021"/>
    <w:rsid w:val="009751FD"/>
    <w:rsid w:val="009821C2"/>
    <w:rsid w:val="009829A8"/>
    <w:rsid w:val="009829E3"/>
    <w:rsid w:val="00992F31"/>
    <w:rsid w:val="009A297C"/>
    <w:rsid w:val="009D3230"/>
    <w:rsid w:val="00A20FE6"/>
    <w:rsid w:val="00A25464"/>
    <w:rsid w:val="00A32761"/>
    <w:rsid w:val="00A51CF4"/>
    <w:rsid w:val="00A53D86"/>
    <w:rsid w:val="00A60882"/>
    <w:rsid w:val="00A65AA8"/>
    <w:rsid w:val="00A76369"/>
    <w:rsid w:val="00A77953"/>
    <w:rsid w:val="00A8538C"/>
    <w:rsid w:val="00AB488C"/>
    <w:rsid w:val="00AB6BEC"/>
    <w:rsid w:val="00AC17AC"/>
    <w:rsid w:val="00AC2F08"/>
    <w:rsid w:val="00AE1DE1"/>
    <w:rsid w:val="00AE6EBD"/>
    <w:rsid w:val="00B031C3"/>
    <w:rsid w:val="00B2244E"/>
    <w:rsid w:val="00B226C4"/>
    <w:rsid w:val="00B37741"/>
    <w:rsid w:val="00B91F77"/>
    <w:rsid w:val="00BB1AD5"/>
    <w:rsid w:val="00BE6DA9"/>
    <w:rsid w:val="00BF33FD"/>
    <w:rsid w:val="00BF67D5"/>
    <w:rsid w:val="00C04E39"/>
    <w:rsid w:val="00C05B71"/>
    <w:rsid w:val="00C11D33"/>
    <w:rsid w:val="00C35C84"/>
    <w:rsid w:val="00CC3DD5"/>
    <w:rsid w:val="00CD1C1B"/>
    <w:rsid w:val="00CF7816"/>
    <w:rsid w:val="00D06BB6"/>
    <w:rsid w:val="00D54C2F"/>
    <w:rsid w:val="00DB0624"/>
    <w:rsid w:val="00DB1A20"/>
    <w:rsid w:val="00DC491B"/>
    <w:rsid w:val="00DC7A19"/>
    <w:rsid w:val="00DF1012"/>
    <w:rsid w:val="00DF166A"/>
    <w:rsid w:val="00E06523"/>
    <w:rsid w:val="00E11B34"/>
    <w:rsid w:val="00E153A0"/>
    <w:rsid w:val="00E42417"/>
    <w:rsid w:val="00E5013D"/>
    <w:rsid w:val="00E91C98"/>
    <w:rsid w:val="00EC0415"/>
    <w:rsid w:val="00EC1B2A"/>
    <w:rsid w:val="00EF6820"/>
    <w:rsid w:val="00F26972"/>
    <w:rsid w:val="00F43E2F"/>
    <w:rsid w:val="00F54D25"/>
    <w:rsid w:val="00F55378"/>
    <w:rsid w:val="00F72295"/>
    <w:rsid w:val="00F74FCD"/>
    <w:rsid w:val="00F9042C"/>
    <w:rsid w:val="00FE51E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175B9"/>
  <w15:docId w15:val="{3C637C2E-7F4C-4B58-82E5-A74FD16A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6BF"/>
    <w:pPr>
      <w:keepNext/>
      <w:keepLines/>
      <w:spacing w:before="240" w:after="0"/>
      <w:jc w:val="both"/>
      <w:outlineLvl w:val="0"/>
    </w:pPr>
    <w:rPr>
      <w:rFonts w:ascii="Open Sans" w:eastAsiaTheme="majorEastAsia" w:hAnsi="Open Sans" w:cstheme="majorBidi"/>
      <w:b/>
      <w:color w:val="262626" w:themeColor="text1" w:themeTint="D9"/>
      <w:spacing w:val="20"/>
      <w:sz w:val="20"/>
      <w:szCs w:val="32"/>
      <w:lang w:val="en-US" w:eastAsia="zh-CN"/>
    </w:rPr>
  </w:style>
  <w:style w:type="paragraph" w:styleId="Heading2">
    <w:name w:val="heading 2"/>
    <w:basedOn w:val="Heading1"/>
    <w:next w:val="Normal"/>
    <w:link w:val="Heading2Char"/>
    <w:uiPriority w:val="9"/>
    <w:unhideWhenUsed/>
    <w:qFormat/>
    <w:rsid w:val="001A26BF"/>
    <w:pPr>
      <w:outlineLvl w:val="1"/>
    </w:pPr>
    <w:rPr>
      <w:smallCaps/>
      <w:color w:val="404040" w:themeColor="text1" w:themeTint="BF"/>
    </w:rPr>
  </w:style>
  <w:style w:type="paragraph" w:styleId="Heading3">
    <w:name w:val="heading 3"/>
    <w:basedOn w:val="Normal"/>
    <w:next w:val="Normal"/>
    <w:link w:val="Heading3Char"/>
    <w:uiPriority w:val="9"/>
    <w:unhideWhenUsed/>
    <w:qFormat/>
    <w:rsid w:val="001A26BF"/>
    <w:pPr>
      <w:keepNext/>
      <w:keepLines/>
      <w:spacing w:before="40" w:after="0"/>
      <w:ind w:left="284"/>
      <w:jc w:val="both"/>
      <w:outlineLvl w:val="2"/>
    </w:pPr>
    <w:rPr>
      <w:rFonts w:ascii="Open Sans" w:eastAsiaTheme="majorEastAsia" w:hAnsi="Open Sans" w:cstheme="majorBidi"/>
      <w:b/>
      <w:color w:val="0D0D0D" w:themeColor="text1" w:themeTint="F2"/>
      <w:sz w:val="2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1FD"/>
    <w:rPr>
      <w:color w:val="808080"/>
    </w:rPr>
  </w:style>
  <w:style w:type="paragraph" w:styleId="BalloonText">
    <w:name w:val="Balloon Text"/>
    <w:basedOn w:val="Normal"/>
    <w:link w:val="BalloonTextChar"/>
    <w:uiPriority w:val="99"/>
    <w:semiHidden/>
    <w:unhideWhenUsed/>
    <w:rsid w:val="0065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4C6"/>
    <w:rPr>
      <w:rFonts w:ascii="Tahoma" w:hAnsi="Tahoma" w:cs="Tahoma"/>
      <w:sz w:val="16"/>
      <w:szCs w:val="16"/>
    </w:rPr>
  </w:style>
  <w:style w:type="character" w:styleId="CommentReference">
    <w:name w:val="annotation reference"/>
    <w:basedOn w:val="DefaultParagraphFont"/>
    <w:uiPriority w:val="99"/>
    <w:semiHidden/>
    <w:unhideWhenUsed/>
    <w:rsid w:val="00AC2F08"/>
    <w:rPr>
      <w:sz w:val="16"/>
      <w:szCs w:val="16"/>
    </w:rPr>
  </w:style>
  <w:style w:type="paragraph" w:styleId="CommentText">
    <w:name w:val="annotation text"/>
    <w:basedOn w:val="Normal"/>
    <w:link w:val="CommentTextChar"/>
    <w:uiPriority w:val="99"/>
    <w:semiHidden/>
    <w:unhideWhenUsed/>
    <w:rsid w:val="00AC2F08"/>
    <w:pPr>
      <w:spacing w:line="240" w:lineRule="auto"/>
    </w:pPr>
    <w:rPr>
      <w:sz w:val="20"/>
      <w:szCs w:val="20"/>
    </w:rPr>
  </w:style>
  <w:style w:type="character" w:customStyle="1" w:styleId="CommentTextChar">
    <w:name w:val="Comment Text Char"/>
    <w:basedOn w:val="DefaultParagraphFont"/>
    <w:link w:val="CommentText"/>
    <w:uiPriority w:val="99"/>
    <w:semiHidden/>
    <w:rsid w:val="00AC2F08"/>
    <w:rPr>
      <w:sz w:val="20"/>
      <w:szCs w:val="20"/>
    </w:rPr>
  </w:style>
  <w:style w:type="paragraph" w:styleId="CommentSubject">
    <w:name w:val="annotation subject"/>
    <w:basedOn w:val="CommentText"/>
    <w:next w:val="CommentText"/>
    <w:link w:val="CommentSubjectChar"/>
    <w:uiPriority w:val="99"/>
    <w:semiHidden/>
    <w:unhideWhenUsed/>
    <w:rsid w:val="00AC2F08"/>
    <w:rPr>
      <w:b/>
      <w:bCs/>
    </w:rPr>
  </w:style>
  <w:style w:type="character" w:customStyle="1" w:styleId="CommentSubjectChar">
    <w:name w:val="Comment Subject Char"/>
    <w:basedOn w:val="CommentTextChar"/>
    <w:link w:val="CommentSubject"/>
    <w:uiPriority w:val="99"/>
    <w:semiHidden/>
    <w:rsid w:val="00AC2F08"/>
    <w:rPr>
      <w:b/>
      <w:bCs/>
      <w:sz w:val="20"/>
      <w:szCs w:val="20"/>
    </w:rPr>
  </w:style>
  <w:style w:type="paragraph" w:styleId="HTMLPreformatted">
    <w:name w:val="HTML Preformatted"/>
    <w:basedOn w:val="Normal"/>
    <w:link w:val="HTMLPreformattedChar"/>
    <w:uiPriority w:val="99"/>
    <w:semiHidden/>
    <w:unhideWhenUsed/>
    <w:rsid w:val="00B22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B226C4"/>
    <w:rPr>
      <w:rFonts w:ascii="Courier New" w:eastAsia="Times New Roman" w:hAnsi="Courier New" w:cs="Courier New"/>
      <w:sz w:val="20"/>
      <w:szCs w:val="20"/>
      <w:lang w:eastAsia="fr-FR"/>
    </w:rPr>
  </w:style>
  <w:style w:type="character" w:customStyle="1" w:styleId="y2iqfc">
    <w:name w:val="y2iqfc"/>
    <w:basedOn w:val="DefaultParagraphFont"/>
    <w:rsid w:val="00B226C4"/>
  </w:style>
  <w:style w:type="paragraph" w:styleId="Revision">
    <w:name w:val="Revision"/>
    <w:hidden/>
    <w:uiPriority w:val="99"/>
    <w:semiHidden/>
    <w:rsid w:val="002E1081"/>
    <w:pPr>
      <w:spacing w:after="0" w:line="240" w:lineRule="auto"/>
    </w:pPr>
  </w:style>
  <w:style w:type="paragraph" w:styleId="Header">
    <w:name w:val="header"/>
    <w:basedOn w:val="Normal"/>
    <w:link w:val="HeaderChar"/>
    <w:uiPriority w:val="99"/>
    <w:unhideWhenUsed/>
    <w:rsid w:val="00EC1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B2A"/>
  </w:style>
  <w:style w:type="paragraph" w:styleId="Footer">
    <w:name w:val="footer"/>
    <w:basedOn w:val="Normal"/>
    <w:link w:val="FooterChar"/>
    <w:uiPriority w:val="99"/>
    <w:unhideWhenUsed/>
    <w:rsid w:val="00EC1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B2A"/>
  </w:style>
  <w:style w:type="paragraph" w:styleId="Title">
    <w:name w:val="Title"/>
    <w:basedOn w:val="Normal"/>
    <w:next w:val="Normal"/>
    <w:link w:val="TitleChar"/>
    <w:uiPriority w:val="10"/>
    <w:qFormat/>
    <w:rsid w:val="008D64A4"/>
    <w:pPr>
      <w:spacing w:after="0" w:line="680" w:lineRule="exact"/>
      <w:contextualSpacing/>
    </w:pPr>
    <w:rPr>
      <w:rFonts w:ascii="Open Sans" w:eastAsiaTheme="majorEastAsia" w:hAnsi="Open Sans" w:cstheme="majorBidi"/>
      <w:b/>
      <w:bCs/>
      <w:color w:val="FFFFFF" w:themeColor="background1"/>
      <w:spacing w:val="-10"/>
      <w:kern w:val="28"/>
      <w:sz w:val="56"/>
      <w:szCs w:val="56"/>
      <w:lang w:val="en-US"/>
    </w:rPr>
  </w:style>
  <w:style w:type="character" w:customStyle="1" w:styleId="TitleChar">
    <w:name w:val="Title Char"/>
    <w:basedOn w:val="DefaultParagraphFont"/>
    <w:link w:val="Title"/>
    <w:uiPriority w:val="10"/>
    <w:rsid w:val="008D64A4"/>
    <w:rPr>
      <w:rFonts w:ascii="Open Sans" w:eastAsiaTheme="majorEastAsia" w:hAnsi="Open Sans" w:cstheme="majorBidi"/>
      <w:b/>
      <w:bCs/>
      <w:color w:val="FFFFFF" w:themeColor="background1"/>
      <w:spacing w:val="-10"/>
      <w:kern w:val="28"/>
      <w:sz w:val="56"/>
      <w:szCs w:val="56"/>
      <w:lang w:val="en-US"/>
    </w:rPr>
  </w:style>
  <w:style w:type="character" w:customStyle="1" w:styleId="Heading1Char">
    <w:name w:val="Heading 1 Char"/>
    <w:basedOn w:val="DefaultParagraphFont"/>
    <w:link w:val="Heading1"/>
    <w:uiPriority w:val="9"/>
    <w:rsid w:val="001A26BF"/>
    <w:rPr>
      <w:rFonts w:ascii="Open Sans" w:eastAsiaTheme="majorEastAsia" w:hAnsi="Open Sans" w:cstheme="majorBidi"/>
      <w:b/>
      <w:color w:val="262626" w:themeColor="text1" w:themeTint="D9"/>
      <w:spacing w:val="20"/>
      <w:sz w:val="20"/>
      <w:szCs w:val="32"/>
      <w:lang w:val="en-US" w:eastAsia="zh-CN"/>
    </w:rPr>
  </w:style>
  <w:style w:type="character" w:customStyle="1" w:styleId="Heading2Char">
    <w:name w:val="Heading 2 Char"/>
    <w:basedOn w:val="DefaultParagraphFont"/>
    <w:link w:val="Heading2"/>
    <w:uiPriority w:val="9"/>
    <w:rsid w:val="001A26BF"/>
    <w:rPr>
      <w:rFonts w:ascii="Open Sans" w:eastAsiaTheme="majorEastAsia" w:hAnsi="Open Sans" w:cstheme="majorBidi"/>
      <w:b/>
      <w:smallCaps/>
      <w:color w:val="404040" w:themeColor="text1" w:themeTint="BF"/>
      <w:spacing w:val="20"/>
      <w:sz w:val="20"/>
      <w:szCs w:val="32"/>
      <w:lang w:val="en-US" w:eastAsia="zh-CN"/>
    </w:rPr>
  </w:style>
  <w:style w:type="character" w:customStyle="1" w:styleId="Heading3Char">
    <w:name w:val="Heading 3 Char"/>
    <w:basedOn w:val="DefaultParagraphFont"/>
    <w:link w:val="Heading3"/>
    <w:uiPriority w:val="9"/>
    <w:rsid w:val="001A26BF"/>
    <w:rPr>
      <w:rFonts w:ascii="Open Sans" w:eastAsiaTheme="majorEastAsia" w:hAnsi="Open Sans" w:cstheme="majorBidi"/>
      <w:b/>
      <w:color w:val="0D0D0D" w:themeColor="text1" w:themeTint="F2"/>
      <w:sz w:val="20"/>
      <w:szCs w:val="24"/>
      <w:lang w:val="en-US" w:eastAsia="zh-CN"/>
    </w:rPr>
  </w:style>
  <w:style w:type="paragraph" w:styleId="ListParagraph">
    <w:name w:val="List Paragraph"/>
    <w:aliases w:val="References,Bullets,List Paragraph (numbered (a)),Numbered List Paragraph,ADB List Paragraph,Dot pt,List Paragraph Char Char Char,Indicator Text,List Paragraph1,Numbered Para 1,List Paragraph12,Bullet Points,MAIN CONTENT,Bullet 1"/>
    <w:basedOn w:val="Normal"/>
    <w:link w:val="ListParagraphChar"/>
    <w:uiPriority w:val="34"/>
    <w:qFormat/>
    <w:rsid w:val="001A26BF"/>
    <w:pPr>
      <w:ind w:left="720"/>
      <w:contextualSpacing/>
      <w:jc w:val="both"/>
    </w:pPr>
    <w:rPr>
      <w:rFonts w:ascii="Open Sans" w:eastAsiaTheme="minorEastAsia" w:hAnsi="Open Sans"/>
      <w:sz w:val="20"/>
      <w:lang w:val="en-US" w:eastAsia="zh-CN"/>
    </w:rPr>
  </w:style>
  <w:style w:type="character" w:styleId="Hyperlink">
    <w:name w:val="Hyperlink"/>
    <w:basedOn w:val="DefaultParagraphFont"/>
    <w:uiPriority w:val="99"/>
    <w:unhideWhenUsed/>
    <w:rsid w:val="001A26BF"/>
    <w:rPr>
      <w:color w:val="0563C1" w:themeColor="hyperlink"/>
      <w:u w:val="single"/>
    </w:rPr>
  </w:style>
  <w:style w:type="paragraph" w:styleId="NormalWeb">
    <w:name w:val="Normal (Web)"/>
    <w:basedOn w:val="Normal"/>
    <w:uiPriority w:val="99"/>
    <w:unhideWhenUsed/>
    <w:rsid w:val="001A26BF"/>
    <w:pPr>
      <w:spacing w:before="100" w:beforeAutospacing="1" w:after="100" w:afterAutospacing="1" w:line="240" w:lineRule="auto"/>
      <w:jc w:val="both"/>
    </w:pPr>
    <w:rPr>
      <w:rFonts w:ascii="Times New Roman" w:eastAsia="Times New Roman" w:hAnsi="Times New Roman" w:cs="Times New Roman"/>
      <w:sz w:val="24"/>
      <w:szCs w:val="24"/>
      <w:lang w:val="en-CA" w:eastAsia="en-CA"/>
    </w:rPr>
  </w:style>
  <w:style w:type="character" w:customStyle="1" w:styleId="ListParagraphChar">
    <w:name w:val="List Paragraph Char"/>
    <w:aliases w:val="References Char,Bullets Char,List Paragraph (numbered (a)) Char,Numbered List Paragraph Char,ADB List Paragraph Char,Dot pt Char,List Paragraph Char Char Char Char,Indicator Text Char,List Paragraph1 Char,Numbered Para 1 Char"/>
    <w:link w:val="ListParagraph"/>
    <w:uiPriority w:val="34"/>
    <w:qFormat/>
    <w:locked/>
    <w:rsid w:val="001A26BF"/>
    <w:rPr>
      <w:rFonts w:ascii="Open Sans" w:eastAsiaTheme="minorEastAsia" w:hAnsi="Open Sans"/>
      <w:sz w:val="20"/>
      <w:lang w:val="en-US" w:eastAsia="zh-CN"/>
    </w:rPr>
  </w:style>
  <w:style w:type="paragraph" w:customStyle="1" w:styleId="Default">
    <w:name w:val="Default"/>
    <w:rsid w:val="001A26BF"/>
    <w:pPr>
      <w:autoSpaceDE w:val="0"/>
      <w:autoSpaceDN w:val="0"/>
      <w:adjustRightInd w:val="0"/>
      <w:spacing w:after="0" w:line="240" w:lineRule="auto"/>
    </w:pPr>
    <w:rPr>
      <w:rFonts w:ascii="Open Sans" w:eastAsiaTheme="minorEastAsia" w:hAnsi="Open Sans" w:cs="Open Sans"/>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4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g.uis.unesco.org/wp-content/uploads/sites/4/2021/06/Equity-benchmark-Op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cg.uis.unesco.org/wp-content/uploads/sites/4/2021/06/Filling-the-data-gaps-for-Expenditure-Data-Proposal-from-the-UIS-TCG-Secretariat.pdf" TargetMode="External"/><Relationship Id="rId4" Type="http://schemas.openxmlformats.org/officeDocument/2006/relationships/settings" Target="settings.xml"/><Relationship Id="rId9" Type="http://schemas.openxmlformats.org/officeDocument/2006/relationships/hyperlink" Target="http://tcg.uis.unesco.org/wp-content/uploads/sites/4/2021/06/SDG-4-Regional-or-global-aggregation-methodology-Note-for-TCG.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F9DAB-E322-4FA0-841D-DA001F8E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1501</Words>
  <Characters>7915</Characters>
  <Application>Microsoft Office Word</Application>
  <DocSecurity>0</DocSecurity>
  <Lines>208</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Ministere de l'Education Nationale</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 - Depp-Mirei</dc:creator>
  <cp:lastModifiedBy>Deslandes, Kim</cp:lastModifiedBy>
  <cp:revision>2</cp:revision>
  <dcterms:created xsi:type="dcterms:W3CDTF">2021-07-13T20:25:00Z</dcterms:created>
  <dcterms:modified xsi:type="dcterms:W3CDTF">2021-07-13T20:25:00Z</dcterms:modified>
</cp:coreProperties>
</file>